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ИНСТРУКЦИЯ ДЛЯ ЖИТЕЛЕЙ КРАСНОДАРСКОГО КРАЯ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Двухпоточная система раздельного сбора отходов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твердые коммунальные отходы (ТКО) делятся на два потока: сухое (чистое) вторсырье – в синий контейнер, смешанные (органические) отходы – в серый контейнер.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СИНИЙ КОНТЕЙНЕР (или контейнер с синей маркировкой)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СУХИХ (чистых) вторичных материальных ресурсов (ВМР) – того, что можно переработать и сделать новые вещи.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Segoe UI Emoji" w:ascii="Segoe UI Emoji" w:hAnsi="Segoe UI Emoji"/>
          <w:sz w:val="26"/>
          <w:szCs w:val="26"/>
        </w:rPr>
        <w:t>✅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ЧТО МОЖНО БРОСАТЬ (после подготовки):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Пластик: бутылки, флаконы, плотные ведра, тарные контейнеры (из-под пищевой продукции, хранения).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Металл: жестяные и алюминиевые банки (из-под напитков, консервов).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Многослойная упаковка (тетрапак) – коробки из-под сока, молока.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 xml:space="preserve">Стекло: банки, бутылки,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стеклобой.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Бумага и картон: книги, журналы, газеты, тетради, бумажные пакеты, гофрокартон, офисная бумага.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Segoe UI Emoji" w:ascii="Segoe UI Emoji" w:hAnsi="Segoe UI Emoji"/>
          <w:sz w:val="26"/>
          <w:szCs w:val="26"/>
        </w:rPr>
        <w:t>⚠️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ВАЖНОЕ УСЛОВИЕ: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Все отходы перед отправкой в синий бак нужно подготовить:</w:t>
      </w:r>
    </w:p>
    <w:p>
      <w:pPr>
        <w:pStyle w:val="Normal"/>
        <w:spacing w:lineRule="auto" w:line="240" w:before="0" w:after="8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Вымыть – без остатков пищи, жира, сладких напитков.</w:t>
      </w:r>
    </w:p>
    <w:p>
      <w:pPr>
        <w:pStyle w:val="Normal"/>
        <w:spacing w:lineRule="auto" w:line="240" w:before="0" w:after="8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Высушить – влажные отходы загнивают и портят всю партию.</w:t>
      </w:r>
    </w:p>
    <w:p>
      <w:pPr>
        <w:pStyle w:val="Normal"/>
        <w:spacing w:lineRule="auto" w:line="240" w:before="0" w:after="8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Смя́ть (компактно сложить) – чтобы экономить место.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Segoe UI Emoji" w:ascii="Segoe UI Emoji" w:hAnsi="Segoe UI Emoji"/>
          <w:sz w:val="26"/>
          <w:szCs w:val="26"/>
        </w:rPr>
        <w:t>❌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ЧТО ЗАПРЕЩЕНО БРОСАТЬ В СИНИЙ КОНТЕЙНЕР: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Мокрая, горелая бумага, бумага со следами жира, масла, остатками пищи.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Кассовые чеки (термобумага – не перерабатывается).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Обои, калька, пергамент, пачки от сигарет, фотобумага.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Картонные упаковки из-под яиц (пульпекартон).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Зеркала, хрусталь, керамика, фаянс, лампы, жаростойкое стекло (закаленное).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Грязные пластиковые бутылки (из-под масла, соусов, косметики) – только чистые!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Любые органические остатки, средства гигиены, влажные салфетки.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Если в синий контейнер попадут влажные или грязные отходы, вся его партия может быть признана непригодной для переработки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СЕРЫЙ КОНТЕЙНЕР (или контейнер с серой маркировкой)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СМЕШАННЫХ (влажных) органических отходов, которые не подлежат переработке.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Segoe UI Emoji" w:ascii="Segoe UI Emoji" w:hAnsi="Segoe UI Emoji"/>
          <w:sz w:val="26"/>
          <w:szCs w:val="26"/>
        </w:rPr>
        <w:t>✅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ЧТО МОЖНО БРОСАТЬ: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Пищевые остатки (очистки, кости, испорченные продукты, заварка).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Грязная упаковка (жирные коробки из-под пиццы, бумажные полотенца с едой).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Средства личной гигиены (подгузники, прокладки, ватные диски).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Черный пластик (редко перерабатывается), поврежденные вещи.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Segoe UI Emoji" w:ascii="Segoe UI Emoji" w:hAnsi="Segoe UI Emoji"/>
          <w:sz w:val="26"/>
          <w:szCs w:val="26"/>
        </w:rPr>
        <w:t>❌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ЗАПРЕЩАЕТСЯ выбрасывать в серый и синий контейнер ТКО опасные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отходы и крупногабаритные вещи (мебель, технику).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ОПАСНЫЕ ОТХОДЫ ОТ НАСЕЛЕНИЯ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батарейки и аккумуляторы (пальчиковые, от телефонов, ноутбуков).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ртутные и люминесцентные лампы (энергосберегающие, трубчатые).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градусники (содержат ртуть).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просроченные лекарства (особенно в ампулах).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ab/>
        <w:t>остатки красок, растворители.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Опасные вещества (ртуть, щелочь, тяжелые металлы) отравляют почву, грунтовые воды и воздух при сжигании. Даже одна батарейка загрязняет 20 м² земли!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Segoe UI Emoji" w:ascii="Segoe UI Emoji" w:hAnsi="Segoe UI Emoji"/>
          <w:sz w:val="26"/>
          <w:szCs w:val="26"/>
        </w:rPr>
        <w:t>✅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Сдавайте их в специализированные пункты приема.</w:t>
      </w:r>
    </w:p>
    <w:p>
      <w:pPr>
        <w:pStyle w:val="Normal"/>
        <w:spacing w:lineRule="auto" w:line="240" w:before="0"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Краснодарском крае такие пункты есть в крупных гипермаркетах, в администрациях многих районов.</w:t>
      </w:r>
    </w:p>
    <w:p>
      <w:pPr>
        <w:pStyle w:val="Normal"/>
        <w:jc w:val="both"/>
        <w:rPr>
          <w:rFonts w:cs="Segoe UI Emoji"/>
          <w:sz w:val="26"/>
          <w:szCs w:val="26"/>
        </w:rPr>
      </w:pPr>
      <w:r>
        <w:rPr>
          <w:rFonts w:cs="Segoe UI Emoji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КРУПНОГАБАРИТНЫЕ ОТХОДЫ (КГО)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Мебель (диваны, шкафы), бытовая техника (холодильники, стиральные машины), велосипеды,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отходы от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текущего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ремонта квартиры</w:t>
      </w:r>
      <w:r>
        <w:rPr>
          <w:rFonts w:cs="Times New Roman" w:ascii="Times New Roman" w:hAnsi="Times New Roman"/>
          <w:sz w:val="26"/>
          <w:szCs w:val="26"/>
        </w:rPr>
        <w:t xml:space="preserve"> (</w:t>
      </w:r>
      <w:r>
        <w:rPr>
          <w:rFonts w:cs="Times New Roman" w:ascii="Times New Roman" w:hAnsi="Times New Roman"/>
          <w:sz w:val="26"/>
          <w:szCs w:val="26"/>
        </w:rPr>
        <w:t>обои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</w:rPr>
        <w:t>ламинат,</w:t>
      </w:r>
      <w:r>
        <w:rPr>
          <w:rFonts w:cs="Times New Roman" w:ascii="Times New Roman" w:hAnsi="Times New Roman"/>
          <w:sz w:val="26"/>
          <w:szCs w:val="26"/>
        </w:rPr>
        <w:t xml:space="preserve"> старая сантехника).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Segoe UI Emoji" w:ascii="Segoe UI Emoji" w:hAnsi="Segoe UI Emoji"/>
          <w:sz w:val="26"/>
          <w:szCs w:val="26"/>
        </w:rPr>
        <w:t>❌</w:t>
      </w:r>
      <w:r>
        <w:rPr>
          <w:rFonts w:cs="Times New Roman" w:ascii="Times New Roman" w:hAnsi="Times New Roman"/>
          <w:sz w:val="26"/>
          <w:szCs w:val="26"/>
        </w:rPr>
        <w:tab/>
        <w:t>НЕЛЬЗЯ ставить КГО рядом с контейнерами или внутри них – это нарушает санитарные нормы и мешает вывозу, а также выбрасывать КГО в синие и серые контейнеры – они не предназначены для таких больших предметов.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ВАЖНО: </w:t>
      </w:r>
      <w:r>
        <w:rPr>
          <w:rFonts w:cs="Times New Roman" w:ascii="Times New Roman" w:hAnsi="Times New Roman"/>
          <w:sz w:val="26"/>
          <w:szCs w:val="26"/>
        </w:rPr>
        <w:t>Запрещено выбрасывать в контейнеры строительные отходы (бетон, кирпич, гипсокартон), растительную обрезь и автомобильные детали (шины, фильтры, запчасти). Их необходимо вывозить по договору со специализированной компанией.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egoe UI Emoj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f2449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2449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2449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2449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2449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2449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2449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2449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2449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f2449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f2449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2449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24494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24494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f24494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f24494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f24494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f24494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f2449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f2449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f2449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24494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f2449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24494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f2449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f2449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f2449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2449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f2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LibreOffice/24.8.4.2$Linux_X86_64 LibreOffice_project/480$Build-2</Application>
  <AppVersion>15.0000</AppVersion>
  <Pages>2</Pages>
  <Words>447</Words>
  <Characters>2953</Characters>
  <CharactersWithSpaces>3366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2026-06-08T07:04:00Z</dcterms:created>
  <dc:creator>Полевая Надежда Витальевна</dc:creator>
  <dc:description/>
  <dc:language>ru-RU</dc:language>
  <cp:lastModifiedBy/>
  <dcterms:modified xsi:type="dcterms:W3CDTF">2026-06-18T15:51:56Z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