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numPr>
          <w:ilvl w:val="0"/>
          <w:numId w:val="0"/>
        </w:numPr>
        <w:ind w:hanging="0" w:left="0"/>
        <w:jc w:val="right"/>
        <w:outlineLvl w:val="0"/>
        <w:rPr>
          <w:sz w:val="22"/>
        </w:rPr>
      </w:pPr>
      <w:r>
        <w:rPr>
          <w:sz w:val="22"/>
        </w:rPr>
        <w:t>Утверждена постановлением Правительства</w:t>
      </w:r>
    </w:p>
    <w:p>
      <w:pPr>
        <w:pStyle w:val="ConsPlusNormal1"/>
        <w:widowControl/>
        <w:jc w:val="right"/>
        <w:rPr>
          <w:sz w:val="22"/>
        </w:rPr>
      </w:pPr>
      <w:r>
        <w:rPr>
          <w:sz w:val="22"/>
        </w:rPr>
        <w:t>Российской Федерации от 7 марта 2025г. № 293</w:t>
      </w:r>
    </w:p>
    <w:p>
      <w:pPr>
        <w:pStyle w:val="ConsPlusNormal1"/>
        <w:rPr>
          <w:b/>
        </w:rPr>
      </w:pPr>
      <w:r>
        <w:rPr>
          <w:b/>
        </w:rPr>
      </w:r>
    </w:p>
    <w:p>
      <w:pPr>
        <w:pStyle w:val="Normal"/>
        <w:ind w:firstLine="709"/>
        <w:jc w:val="center"/>
        <w:rPr>
          <w:b/>
          <w:sz w:val="21"/>
        </w:rPr>
      </w:pPr>
      <w:r>
        <w:rPr>
          <w:b/>
          <w:sz w:val="21"/>
        </w:rPr>
        <w:t xml:space="preserve">ДОГОВОР № ЮЛ </w:t>
      </w:r>
      <w:r>
        <w:rPr>
          <w:sz w:val="21"/>
        </w:rPr>
        <w:t>– _________</w:t>
      </w:r>
    </w:p>
    <w:p>
      <w:pPr>
        <w:pStyle w:val="ConsPlusNormal1"/>
        <w:widowControl/>
        <w:jc w:val="center"/>
        <w:rPr>
          <w:b/>
        </w:rPr>
      </w:pPr>
      <w:r>
        <w:rPr>
          <w:sz w:val="21"/>
        </w:rPr>
        <w:t>на оказание услуг по обращению с твердыми коммунальными отходами</w:t>
      </w:r>
    </w:p>
    <w:p>
      <w:pPr>
        <w:pStyle w:val="ConsPlusNormal1"/>
        <w:widowControl/>
        <w:jc w:val="both"/>
        <w:rPr/>
      </w:pPr>
      <w:r>
        <w:rPr/>
      </w:r>
    </w:p>
    <w:p>
      <w:pPr>
        <w:pStyle w:val="ConsPlusNormal1"/>
        <w:widowControl/>
        <w:jc w:val="both"/>
        <w:rPr/>
      </w:pPr>
      <w:r>
        <w:rPr/>
        <w:t>_______________________________                                                             "__" _____________ 20__ г.</w:t>
      </w:r>
    </w:p>
    <w:p>
      <w:pPr>
        <w:pStyle w:val="ConsPlusNormal1"/>
        <w:widowControl/>
        <w:jc w:val="both"/>
        <w:rPr>
          <w:sz w:val="22"/>
        </w:rPr>
      </w:pPr>
      <w:r>
        <w:rPr/>
        <w:t xml:space="preserve">      </w:t>
      </w:r>
      <w:r>
        <w:rPr>
          <w:sz w:val="22"/>
        </w:rPr>
        <w:t xml:space="preserve">  </w:t>
      </w:r>
      <w:r>
        <w:rPr>
          <w:sz w:val="22"/>
        </w:rPr>
        <w:t>(место заключения договора)</w:t>
      </w:r>
    </w:p>
    <w:p>
      <w:pPr>
        <w:pStyle w:val="ConsPlusNormal1"/>
        <w:widowControl/>
        <w:jc w:val="both"/>
        <w:rPr/>
      </w:pPr>
      <w:r>
        <w:rPr/>
      </w:r>
    </w:p>
    <w:p>
      <w:pPr>
        <w:pStyle w:val="ConsPlusNormal1"/>
        <w:widowControl/>
        <w:jc w:val="both"/>
        <w:rPr/>
      </w:pPr>
      <w:r>
        <w:rPr>
          <w:b/>
          <w:sz w:val="21"/>
        </w:rPr>
        <w:t>Акционерное общество «Крайжилкомресурс»</w:t>
      </w:r>
      <w:r>
        <w:rPr/>
        <w:t>, именуемое в дальнейшем региональным оператором по обращению с твердыми коммунальными отходами (далее - Региональный оператор), в лице ____________________________________________________________________________________,</w:t>
      </w:r>
    </w:p>
    <w:p>
      <w:pPr>
        <w:pStyle w:val="ConsPlusNormal1"/>
        <w:widowControl/>
        <w:jc w:val="both"/>
        <w:rPr>
          <w:sz w:val="22"/>
        </w:rPr>
      </w:pPr>
      <w:r>
        <w:rPr/>
        <w:t xml:space="preserve">    </w:t>
      </w:r>
      <w:r>
        <w:rPr>
          <w:sz w:val="22"/>
        </w:rPr>
        <w:t xml:space="preserve">                               </w:t>
      </w:r>
      <w:r>
        <w:rPr>
          <w:sz w:val="20"/>
        </w:rPr>
        <w:t xml:space="preserve"> </w:t>
      </w:r>
      <w:r>
        <w:rPr>
          <w:sz w:val="20"/>
        </w:rPr>
        <w:t>(наименование должности, фамилия, имя, отчество (при наличии) физического лица)</w:t>
      </w:r>
    </w:p>
    <w:p>
      <w:pPr>
        <w:pStyle w:val="ConsPlusNormal1"/>
        <w:widowControl/>
        <w:jc w:val="both"/>
        <w:rPr/>
      </w:pPr>
      <w:r>
        <w:rPr/>
        <w:t>действующего на основании   __________________________________________________________,</w:t>
      </w:r>
    </w:p>
    <w:p>
      <w:pPr>
        <w:pStyle w:val="ConsPlusNormal1"/>
        <w:widowControl/>
        <w:jc w:val="both"/>
        <w:rPr>
          <w:sz w:val="22"/>
        </w:rPr>
      </w:pPr>
      <w:r>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sz w:val="21"/>
        </w:rPr>
        <w:t xml:space="preserve">лицензии на осуществление деятельности по сбору, транспортированию, обработке, утилизации, обезвреживанию, размещению отходов I–IV классов опасности серия 023 № 00601, выданной Федеральной службой по надзору в сфере природопользования 12.02.2018, в соответствии с соглашением по обращению с твердыми коммунальными отходами по Белореченской зоне деятельности от 14.01.2019, заключенным с министерством ТЭК и ЖКХ Краснодарского края, </w:t>
      </w:r>
      <w:r>
        <w:rPr/>
        <w:t>с одной стороны, и ____________________________________________________________________________________,</w:t>
      </w:r>
    </w:p>
    <w:p>
      <w:pPr>
        <w:pStyle w:val="ConsPlusNormal1"/>
        <w:widowControl/>
        <w:jc w:val="both"/>
        <w:rPr>
          <w:sz w:val="22"/>
        </w:rPr>
      </w:pPr>
      <w:r>
        <w:rPr/>
        <w:t xml:space="preserve">                              </w:t>
      </w:r>
      <w:r>
        <w:rPr>
          <w:sz w:val="20"/>
        </w:rPr>
        <w:t xml:space="preserve">   </w:t>
      </w:r>
      <w:r>
        <w:rPr>
          <w:sz w:val="20"/>
        </w:rPr>
        <w:t>(наименование организации, фамилия, имя, отчество (при наличии) физического лица)</w:t>
      </w:r>
    </w:p>
    <w:p>
      <w:pPr>
        <w:pStyle w:val="ConsPlusNormal1"/>
        <w:widowControl/>
        <w:jc w:val="both"/>
        <w:rPr/>
      </w:pPr>
      <w:r>
        <w:rPr/>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 лице________________________________________________________________________________,</w:t>
      </w:r>
    </w:p>
    <w:p>
      <w:pPr>
        <w:pStyle w:val="ConsPlusNormal1"/>
        <w:widowControl/>
        <w:jc w:val="center"/>
        <w:rPr>
          <w:sz w:val="20"/>
        </w:rPr>
      </w:pPr>
      <w:r>
        <w:rPr>
          <w:sz w:val="20"/>
        </w:rPr>
        <w:t xml:space="preserve">   </w:t>
      </w:r>
      <w:r>
        <w:rPr>
          <w:sz w:val="18"/>
        </w:rPr>
        <w:t xml:space="preserve">     </w:t>
      </w:r>
      <w:r>
        <w:rPr>
          <w:sz w:val="18"/>
        </w:rPr>
        <w:t>(наименование должности, фамилия, имя, отчество (при наличии) - в случае заключения договора юридическим лицом)</w:t>
      </w:r>
    </w:p>
    <w:p>
      <w:pPr>
        <w:pStyle w:val="ConsPlusNormal1"/>
        <w:widowControl/>
        <w:jc w:val="both"/>
        <w:rPr/>
      </w:pPr>
      <w:r>
        <w:rPr/>
        <w:t>действующего на основании ___________________________________________________________,</w:t>
      </w:r>
    </w:p>
    <w:p>
      <w:pPr>
        <w:pStyle w:val="ConsPlusNormal1"/>
        <w:widowControl/>
        <w:jc w:val="both"/>
        <w:rPr>
          <w:sz w:val="20"/>
        </w:rPr>
      </w:pPr>
      <w:r>
        <w:rPr/>
        <w:t xml:space="preserve">            </w:t>
      </w:r>
      <w:r>
        <w:rPr>
          <w:sz w:val="22"/>
        </w:rPr>
        <w:t xml:space="preserve">                                                           </w:t>
      </w:r>
      <w:r>
        <w:rPr>
          <w:sz w:val="20"/>
        </w:rPr>
        <w:t xml:space="preserve">   </w:t>
      </w:r>
      <w:r>
        <w:rPr>
          <w:sz w:val="20"/>
        </w:rPr>
        <w:t>(положение, устав, доверенность - указать нужное)</w:t>
      </w:r>
    </w:p>
    <w:p>
      <w:pPr>
        <w:pStyle w:val="ConsPlusNormal1"/>
        <w:widowControl/>
        <w:jc w:val="both"/>
        <w:rPr/>
      </w:pPr>
      <w:r>
        <w:rPr/>
        <w:t>с другой стороны, именуемые в дальнейшем сторонами, заключили настоящий договор о нижеследующем:</w:t>
      </w:r>
    </w:p>
    <w:p>
      <w:pPr>
        <w:pStyle w:val="ConsPlusNormal1"/>
        <w:widowControl/>
        <w:numPr>
          <w:ilvl w:val="0"/>
          <w:numId w:val="0"/>
        </w:numPr>
        <w:ind w:hanging="0" w:left="0"/>
        <w:jc w:val="center"/>
        <w:outlineLvl w:val="1"/>
        <w:rPr>
          <w:b/>
        </w:rPr>
      </w:pPr>
      <w:r>
        <w:rPr>
          <w:b/>
        </w:rPr>
      </w:r>
    </w:p>
    <w:p>
      <w:pPr>
        <w:pStyle w:val="ConsPlusNormal1"/>
        <w:widowControl/>
        <w:numPr>
          <w:ilvl w:val="0"/>
          <w:numId w:val="0"/>
        </w:numPr>
        <w:ind w:hanging="0" w:left="0"/>
        <w:jc w:val="center"/>
        <w:outlineLvl w:val="1"/>
        <w:rPr>
          <w:b/>
        </w:rPr>
      </w:pPr>
      <w:r>
        <w:rPr>
          <w:b/>
        </w:rPr>
        <w:t>I. Предмет договора</w:t>
      </w:r>
    </w:p>
    <w:p>
      <w:pPr>
        <w:pStyle w:val="ConsPlusNormal1"/>
        <w:widowControl/>
        <w:jc w:val="both"/>
        <w:rPr/>
      </w:pPr>
      <w:r>
        <w:rPr/>
      </w:r>
    </w:p>
    <w:p>
      <w:pPr>
        <w:pStyle w:val="ConsPlusNormal1"/>
        <w:widowControl/>
        <w:ind w:firstLine="567"/>
        <w:jc w:val="both"/>
        <w:rPr/>
      </w:pPr>
      <w:r>
        <w:rPr/>
        <w:t xml:space="preserve">    </w:t>
      </w:r>
      <w:r>
        <w:rPr/>
        <w:t>1.1. По настоящему договору Региональный оператор обязуется принимать твердые коммунальные отходы (далее-ТКО)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в установленном порядке единого тарифа на услугу регионального оператора.</w:t>
      </w:r>
    </w:p>
    <w:p>
      <w:pPr>
        <w:pStyle w:val="ConsPlusNormal1"/>
        <w:widowControl/>
        <w:ind w:firstLine="567"/>
        <w:jc w:val="both"/>
        <w:rPr/>
      </w:pPr>
      <w:r>
        <w:rPr/>
        <w:t>1.2. Объем и (или) масса ТКО, места (площадки) накопления ТКО, в том числе крупногабаритных отходов (далее - КГО), способ складирования и периодичность вывоза, а также информация о размещении мест (площадок) накопления ТКО определяется согласно Приложению № 1.</w:t>
      </w:r>
    </w:p>
    <w:p>
      <w:pPr>
        <w:pStyle w:val="ConsPlusNormal1"/>
        <w:widowControl/>
        <w:ind w:firstLine="567"/>
        <w:jc w:val="both"/>
        <w:rPr/>
      </w:pPr>
      <w:r>
        <w:rPr/>
        <w:t>1.3. Датой начала оказания услуг считается "___" ___________ 20___ г.</w:t>
      </w:r>
    </w:p>
    <w:p>
      <w:pPr>
        <w:pStyle w:val="ConsPlusNormal1"/>
        <w:widowControl/>
        <w:numPr>
          <w:ilvl w:val="0"/>
          <w:numId w:val="0"/>
        </w:numPr>
        <w:ind w:hanging="0" w:left="0"/>
        <w:jc w:val="center"/>
        <w:outlineLvl w:val="1"/>
        <w:rPr>
          <w:b/>
        </w:rPr>
      </w:pPr>
      <w:r>
        <w:rPr>
          <w:b/>
        </w:rPr>
      </w:r>
    </w:p>
    <w:p>
      <w:pPr>
        <w:pStyle w:val="ConsPlusNormal1"/>
        <w:widowControl/>
        <w:numPr>
          <w:ilvl w:val="0"/>
          <w:numId w:val="0"/>
        </w:numPr>
        <w:ind w:hanging="0" w:left="0"/>
        <w:jc w:val="center"/>
        <w:outlineLvl w:val="1"/>
        <w:rPr>
          <w:b/>
        </w:rPr>
      </w:pPr>
      <w:r>
        <w:rPr>
          <w:b/>
        </w:rPr>
      </w:r>
    </w:p>
    <w:p>
      <w:pPr>
        <w:pStyle w:val="ConsPlusNormal1"/>
        <w:widowControl/>
        <w:numPr>
          <w:ilvl w:val="0"/>
          <w:numId w:val="0"/>
        </w:numPr>
        <w:ind w:hanging="0" w:left="0"/>
        <w:jc w:val="center"/>
        <w:outlineLvl w:val="1"/>
        <w:rPr>
          <w:b/>
        </w:rPr>
      </w:pPr>
      <w:r>
        <w:rPr>
          <w:b/>
        </w:rPr>
        <w:t>II. Сроки и порядок оплаты по договору</w:t>
      </w:r>
    </w:p>
    <w:p>
      <w:pPr>
        <w:pStyle w:val="ConsPlusNormal1"/>
        <w:widowControl/>
        <w:jc w:val="both"/>
        <w:rPr/>
      </w:pPr>
      <w:r>
        <w:rPr/>
      </w:r>
    </w:p>
    <w:p>
      <w:pPr>
        <w:pStyle w:val="ConsPlusNormal1"/>
        <w:widowControl/>
        <w:ind w:firstLine="567"/>
        <w:jc w:val="both"/>
        <w:rPr/>
      </w:pPr>
      <w:r>
        <w:rPr/>
        <w:t>2.1. Под расчетным периодом в настоящем  договоре понимается 1 (один) календарный месяц.</w:t>
      </w:r>
    </w:p>
    <w:p>
      <w:pPr>
        <w:pStyle w:val="ConsPlusNormal1"/>
        <w:widowControl/>
        <w:ind w:firstLine="567"/>
        <w:jc w:val="both"/>
        <w:rPr/>
      </w:pPr>
      <w:r>
        <w:rPr/>
        <w:t>2.2. Оплата в настоящем договоре осуществляется по цене, определенной в пределах утвержденного единого тарифа на услугу регионального оператора, которая составляет:</w:t>
      </w:r>
    </w:p>
    <w:p>
      <w:pPr>
        <w:pStyle w:val="Normal"/>
        <w:jc w:val="both"/>
        <w:rPr/>
      </w:pPr>
      <w:r>
        <w:rPr/>
        <w:t xml:space="preserve">                     </w:t>
      </w:r>
      <w:r>
        <w:rPr/>
        <w:t>с 01.01.2025 по 30.06.2025 - 820,26 рублей за 1 куб.м.</w:t>
      </w:r>
    </w:p>
    <w:p>
      <w:pPr>
        <w:pStyle w:val="Normal"/>
        <w:jc w:val="both"/>
        <w:rPr/>
      </w:pPr>
      <w:r>
        <w:rPr/>
        <w:t xml:space="preserve">                     </w:t>
      </w:r>
      <w:r>
        <w:rPr/>
        <w:t>с 01.07.2025 по 31.12.2025 - 959,35 рублей за 1 куб.м.</w:t>
      </w:r>
    </w:p>
    <w:p>
      <w:pPr>
        <w:pStyle w:val="Normal"/>
        <w:ind w:firstLine="567"/>
        <w:jc w:val="both"/>
        <w:rPr/>
      </w:pPr>
      <w:r>
        <w:rPr/>
        <w:t>2.3.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w:t>
      </w:r>
      <w:r>
        <w:rPr/>
        <w:t>0</w:t>
      </w:r>
      <w:r>
        <w:rPr/>
        <w:t>–го числа месяца, следующего за месяцем, в котором были оказаны услуги.</w:t>
      </w:r>
    </w:p>
    <w:p>
      <w:pPr>
        <w:pStyle w:val="Normal"/>
        <w:ind w:firstLine="567"/>
        <w:jc w:val="both"/>
        <w:rPr/>
      </w:pPr>
      <w:r>
        <w:rPr/>
        <w:t>В платежном поручении Потребителя на оплату услуг Регионального оператора в поле «Назначение платежа» обязательно указание номера настоящего договора.</w:t>
      </w:r>
    </w:p>
    <w:p>
      <w:pPr>
        <w:pStyle w:val="Normal"/>
        <w:ind w:firstLine="567"/>
        <w:jc w:val="both"/>
        <w:rPr/>
      </w:pPr>
      <w:r>
        <w:rPr/>
        <w:t>2.4.Собственники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pPr>
        <w:pStyle w:val="Normal"/>
        <w:ind w:firstLine="567"/>
        <w:jc w:val="both"/>
        <w:rPr/>
      </w:pPr>
      <w:r>
        <w:rPr/>
        <w:t>2.5.Потребитель самостоятельно получает у Регионального оператора счет на оплату и акт оказанных услуг до 5 (пятого) числа месяца, следующего за расчетным, и до 10 (десятого) числа этого месяца возвращает надлежащим образом оформленный, а именно подписанный уполномоченным лицом и скрепленный печатью (при ее наличии) акт оказанных услуг Региональному оператору либо предоставляет мотивированный письменный отказ от его подписания.</w:t>
      </w:r>
    </w:p>
    <w:p>
      <w:pPr>
        <w:pStyle w:val="Normal"/>
        <w:ind w:firstLine="567"/>
        <w:jc w:val="both"/>
        <w:rPr/>
      </w:pPr>
      <w:r>
        <w:rPr/>
        <w:t>2.6.В случае, если в течение указанного в пункте 2.5. настоящего договора срока акт оказанных услуг не будет подписан Потребителем и представлен Региональному оператору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pPr>
        <w:pStyle w:val="Normal"/>
        <w:ind w:firstLine="567"/>
        <w:jc w:val="both"/>
        <w:rPr/>
      </w:pPr>
      <w:r>
        <w:rPr/>
        <w:t>2.7. Региональный оператор вправе самостоятельно направлять акт оказанных услуг в адрес Потребителя.</w:t>
      </w:r>
    </w:p>
    <w:p>
      <w:pPr>
        <w:pStyle w:val="Normal"/>
        <w:ind w:firstLine="567"/>
        <w:jc w:val="both"/>
        <w:rPr/>
      </w:pPr>
      <w:r>
        <w:rPr/>
        <w:t>2.8. Датой оплаты услуг считается дата зачисления денежных средств на расчётный счёт Регионального оператора.</w:t>
      </w:r>
    </w:p>
    <w:p>
      <w:pPr>
        <w:pStyle w:val="Normal"/>
        <w:ind w:firstLine="567"/>
        <w:jc w:val="both"/>
        <w:rPr/>
      </w:pPr>
      <w:r>
        <w:rPr/>
        <w:t>2.9. При изменении цены услуг по обращению с ТКО Региональный оператор сообщает о данном факте в очередном счете на оплату, направляемом Потребителю с указанием новой цены услуг.</w:t>
      </w:r>
    </w:p>
    <w:p>
      <w:pPr>
        <w:pStyle w:val="Normal"/>
        <w:ind w:firstLine="567"/>
        <w:jc w:val="both"/>
        <w:rPr/>
      </w:pPr>
      <w:r>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 размещения информации на официальном сайте Регионального оператора.</w:t>
      </w:r>
    </w:p>
    <w:p>
      <w:pPr>
        <w:pStyle w:val="Normal"/>
        <w:jc w:val="both"/>
        <w:rPr/>
      </w:pPr>
      <w:r>
        <w:rPr/>
        <w:t>Стороны признают размещение информации посредством публикации в средствах массовой информации и размещения информации на официальном сайте Регионального оператора надлежащим уведомлением. При этом дополнительное согласование с Потребителем и (или) внесение изменений в настоящий договор не требуется.</w:t>
      </w:r>
    </w:p>
    <w:p>
      <w:pPr>
        <w:pStyle w:val="Normal"/>
        <w:ind w:firstLine="567"/>
        <w:jc w:val="both"/>
        <w:rPr/>
      </w:pPr>
      <w:r>
        <w:rPr/>
        <w:t>2.10. Сверка расчетов по настоящему договору проводится между Региональным оператором и Потребителем (уполномоченной организацией) не реже 1 (одного) раза в год по инициативе одной из Сторон путем составления и подписания Сторонами Акта сверки расчетов.</w:t>
      </w:r>
    </w:p>
    <w:p>
      <w:pPr>
        <w:pStyle w:val="Normal"/>
        <w:ind w:firstLine="567"/>
        <w:jc w:val="both"/>
        <w:rPr/>
      </w:pPr>
      <w:r>
        <w:rPr/>
        <w:t>2.11.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w:t>
      </w:r>
    </w:p>
    <w:p>
      <w:pPr>
        <w:pStyle w:val="Normal"/>
        <w:ind w:firstLine="567"/>
        <w:jc w:val="both"/>
        <w:rPr/>
      </w:pPr>
      <w:r>
        <w:rPr/>
        <w:t>Другая сторона обязана подписать Акт сверки расчетов в течение 3 (трех) рабочих дней со дня его получения или предоставить мотивированный отказ от его подписания с направлением своего варианта Акта сверки расчетов.</w:t>
      </w:r>
    </w:p>
    <w:p>
      <w:pPr>
        <w:pStyle w:val="Normal"/>
        <w:ind w:firstLine="567"/>
        <w:jc w:val="both"/>
        <w:rPr/>
      </w:pPr>
      <w:r>
        <w:rPr/>
        <w:t>2.12.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pPr>
        <w:pStyle w:val="ConsPlusNormal1"/>
        <w:widowControl/>
        <w:jc w:val="both"/>
        <w:rPr/>
      </w:pPr>
      <w:r>
        <w:rPr/>
      </w:r>
    </w:p>
    <w:p>
      <w:pPr>
        <w:pStyle w:val="ConsPlusNormal1"/>
        <w:widowControl/>
        <w:numPr>
          <w:ilvl w:val="0"/>
          <w:numId w:val="0"/>
        </w:numPr>
        <w:ind w:hanging="0" w:left="0"/>
        <w:jc w:val="center"/>
        <w:outlineLvl w:val="1"/>
        <w:rPr>
          <w:b/>
        </w:rPr>
      </w:pPr>
      <w:r>
        <w:rPr>
          <w:b/>
        </w:rPr>
        <w:t>III. Передача ТКО</w:t>
      </w:r>
    </w:p>
    <w:p>
      <w:pPr>
        <w:pStyle w:val="ConsPlusNormal1"/>
        <w:widowControl/>
        <w:numPr>
          <w:ilvl w:val="0"/>
          <w:numId w:val="0"/>
        </w:numPr>
        <w:ind w:hanging="0" w:left="0"/>
        <w:jc w:val="center"/>
        <w:outlineLvl w:val="1"/>
        <w:rPr>
          <w:b/>
        </w:rPr>
      </w:pPr>
      <w:r>
        <w:rPr>
          <w:b/>
        </w:rPr>
      </w:r>
    </w:p>
    <w:p>
      <w:pPr>
        <w:pStyle w:val="ConsPlusNormal1"/>
        <w:widowControl/>
        <w:numPr>
          <w:ilvl w:val="0"/>
          <w:numId w:val="0"/>
        </w:numPr>
        <w:ind w:firstLine="567" w:left="0"/>
        <w:jc w:val="both"/>
        <w:outlineLvl w:val="1"/>
        <w:rPr/>
      </w:pPr>
      <w:r>
        <w:rPr/>
        <w:t>3.1. 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pPr>
        <w:pStyle w:val="ConsPlusNormal1"/>
        <w:widowControl/>
        <w:numPr>
          <w:ilvl w:val="0"/>
          <w:numId w:val="0"/>
        </w:numPr>
        <w:ind w:firstLine="567" w:left="0"/>
        <w:jc w:val="both"/>
        <w:outlineLvl w:val="1"/>
        <w:rPr>
          <w:b/>
        </w:rPr>
      </w:pPr>
      <w:r>
        <w:rPr>
          <w:b/>
        </w:rPr>
      </w:r>
    </w:p>
    <w:p>
      <w:pPr>
        <w:pStyle w:val="ConsPlusNormal1"/>
        <w:widowControl/>
        <w:numPr>
          <w:ilvl w:val="0"/>
          <w:numId w:val="0"/>
        </w:numPr>
        <w:ind w:hanging="0" w:left="0"/>
        <w:jc w:val="center"/>
        <w:outlineLvl w:val="1"/>
        <w:rPr>
          <w:b/>
        </w:rPr>
      </w:pPr>
      <w:r>
        <w:rPr>
          <w:b/>
        </w:rPr>
        <w:t>IV. Права и обязанности Сторон</w:t>
      </w:r>
    </w:p>
    <w:p>
      <w:pPr>
        <w:pStyle w:val="Normal"/>
        <w:jc w:val="both"/>
        <w:rPr>
          <w:rFonts w:ascii="Arial" w:hAnsi="Arial"/>
          <w:sz w:val="16"/>
        </w:rPr>
      </w:pPr>
      <w:r>
        <w:rPr>
          <w:rFonts w:ascii="Arial" w:hAnsi="Arial"/>
          <w:sz w:val="16"/>
        </w:rPr>
      </w:r>
    </w:p>
    <w:p>
      <w:pPr>
        <w:pStyle w:val="ConsPlusNormal1"/>
        <w:widowControl/>
        <w:spacing w:before="0" w:after="85"/>
        <w:ind w:firstLine="709"/>
        <w:jc w:val="both"/>
        <w:rPr/>
      </w:pPr>
      <w:r>
        <w:rPr/>
        <w:t>4.1.Региональный оператор обязан:</w:t>
      </w:r>
    </w:p>
    <w:p>
      <w:pPr>
        <w:pStyle w:val="ConsPlusNormal1"/>
        <w:widowControl/>
        <w:spacing w:before="0" w:after="85"/>
        <w:ind w:firstLine="709"/>
        <w:jc w:val="both"/>
        <w:rPr/>
      </w:pPr>
      <w:r>
        <w:rPr/>
        <w:t>4.1.1. Принимать ТКО, КГО в объеме и (или) массе и в месте, которые предусмотрены в Приложении № 1 к настоящему договору.</w:t>
      </w:r>
    </w:p>
    <w:p>
      <w:pPr>
        <w:pStyle w:val="ConsPlusNormal1"/>
        <w:widowControl/>
        <w:spacing w:before="0" w:after="85"/>
        <w:ind w:firstLine="709"/>
        <w:jc w:val="both"/>
        <w:rPr/>
      </w:pPr>
      <w:r>
        <w:rPr/>
        <w:t>4.1.2.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захоронение принятых ТКО в соответствии с законодательством РФ.</w:t>
      </w:r>
    </w:p>
    <w:p>
      <w:pPr>
        <w:pStyle w:val="ConsPlusNormal1"/>
        <w:widowControl/>
        <w:spacing w:before="0" w:after="85"/>
        <w:ind w:firstLine="709"/>
        <w:jc w:val="both"/>
        <w:rPr/>
      </w:pPr>
      <w:r>
        <w:rPr/>
        <w:t>4.1.3. Представлять Потребителю  (уполномоченной организации) информацию в соответствии со стандартами раскрытия информации в области обращения с ТКО в порядке, предусмотренном законодательством РФ.</w:t>
      </w:r>
    </w:p>
    <w:p>
      <w:pPr>
        <w:pStyle w:val="ConsPlusNormal1"/>
        <w:widowControl/>
        <w:spacing w:before="0" w:after="85"/>
        <w:ind w:firstLine="709"/>
        <w:jc w:val="both"/>
        <w:rPr/>
      </w:pPr>
      <w:r>
        <w:rPr/>
        <w:t>4.1.4.Отвечать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РФ для рассмотрения обращений граждан.</w:t>
      </w:r>
    </w:p>
    <w:p>
      <w:pPr>
        <w:pStyle w:val="ConsPlusNormal1"/>
        <w:widowControl/>
        <w:spacing w:before="0" w:after="85"/>
        <w:ind w:firstLine="709"/>
        <w:jc w:val="both"/>
        <w:rPr/>
      </w:pPr>
      <w:r>
        <w:rPr/>
        <w:t>4.1.5.В случае, предусмотренном пунктом 6.1. настоящего Договора, устранить допущенные нарушения в срок, не превышающий 1 (одни) сутки с даты и времени поступления уведомления о нарушении условий договора.</w:t>
      </w:r>
    </w:p>
    <w:p>
      <w:pPr>
        <w:pStyle w:val="ConsPlusNormal1"/>
        <w:widowControl/>
        <w:spacing w:before="0" w:after="85"/>
        <w:ind w:firstLine="709"/>
        <w:jc w:val="both"/>
        <w:rPr/>
      </w:pPr>
      <w:r>
        <w:rPr/>
        <w:t>4.1.6.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pPr>
        <w:pStyle w:val="ConsPlusNormal1"/>
        <w:widowControl/>
        <w:spacing w:before="0" w:after="85"/>
        <w:ind w:firstLine="709"/>
        <w:jc w:val="both"/>
        <w:rPr/>
      </w:pPr>
      <w:r>
        <w:rPr/>
        <w:t>4.1.7.С даты включения уполномоченным органом в единый тариф на услугу Регионального оператора затрат, предусмотренных постановлением Правительства РФ от 30.05.2016 № 484                      «О ценообразовании в области обращения с твердыми коммунальными отходами»,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pPr>
        <w:pStyle w:val="ConsPlusNormal1"/>
        <w:widowControl/>
        <w:spacing w:before="0" w:after="85"/>
        <w:ind w:firstLine="709"/>
        <w:jc w:val="both"/>
        <w:rPr/>
      </w:pPr>
      <w:r>
        <w:rPr/>
        <w:t>4.1.8. Осуществлять действия по подбору оброненных (просыпавшихся) при погрузке твердых коммунальных отходов и перемещению их в мусоровоз.</w:t>
      </w:r>
    </w:p>
    <w:p>
      <w:pPr>
        <w:pStyle w:val="ConsPlusNormal1"/>
        <w:widowControl/>
        <w:spacing w:before="0" w:after="85"/>
        <w:ind w:firstLine="709"/>
        <w:jc w:val="both"/>
        <w:rPr/>
      </w:pPr>
      <w:r>
        <w:rPr/>
        <w:t>4.2.Региональный оператор вправе:</w:t>
      </w:r>
    </w:p>
    <w:p>
      <w:pPr>
        <w:pStyle w:val="ConsPlusNormal1"/>
        <w:widowControl/>
        <w:spacing w:before="0" w:after="85"/>
        <w:ind w:firstLine="709"/>
        <w:jc w:val="both"/>
        <w:rPr/>
      </w:pPr>
      <w:r>
        <w:rPr/>
        <w:t>4.2.1.Обеспечивать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pPr>
        <w:pStyle w:val="ConsPlusNormal1"/>
        <w:widowControl/>
        <w:spacing w:before="0" w:after="85"/>
        <w:ind w:firstLine="709"/>
        <w:jc w:val="both"/>
        <w:rPr/>
      </w:pPr>
      <w:r>
        <w:rPr/>
        <w:t>4.2.2.В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pPr>
        <w:pStyle w:val="ConsPlusNormal1"/>
        <w:widowControl/>
        <w:spacing w:before="0" w:after="85"/>
        <w:ind w:firstLine="709"/>
        <w:jc w:val="both"/>
        <w:rPr/>
      </w:pPr>
      <w:r>
        <w:rPr/>
        <w:t>4.2.3.Инициировать проведение сверки расчетов по настоящему договору.</w:t>
      </w:r>
    </w:p>
    <w:p>
      <w:pPr>
        <w:pStyle w:val="ConsPlusNormal1"/>
        <w:widowControl/>
        <w:spacing w:before="0" w:after="85"/>
        <w:ind w:firstLine="709"/>
        <w:jc w:val="both"/>
        <w:rPr/>
      </w:pPr>
      <w:r>
        <w:rPr/>
        <w:t>4.2.4.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pPr>
        <w:pStyle w:val="ConsPlusNormal1"/>
        <w:widowControl/>
        <w:spacing w:before="0" w:after="85"/>
        <w:ind w:firstLine="709"/>
        <w:jc w:val="both"/>
        <w:rPr/>
      </w:pPr>
      <w:r>
        <w:rPr/>
        <w:t>4.2.5.Не принимать от Потребителя отходы, не указанные в Приложении № 1 к настоящему договору.</w:t>
      </w:r>
    </w:p>
    <w:p>
      <w:pPr>
        <w:pStyle w:val="ConsPlusNormal1"/>
        <w:widowControl/>
        <w:spacing w:before="0" w:after="85"/>
        <w:ind w:firstLine="709"/>
        <w:jc w:val="both"/>
        <w:rPr/>
      </w:pPr>
      <w:r>
        <w:rPr/>
        <w:t>4.3.Потребитель (уполномоченная организация)  обязан:</w:t>
      </w:r>
    </w:p>
    <w:p>
      <w:pPr>
        <w:pStyle w:val="ConsPlusNormal1"/>
        <w:widowControl/>
        <w:spacing w:before="0" w:after="85"/>
        <w:ind w:firstLine="709"/>
        <w:jc w:val="both"/>
        <w:rPr/>
      </w:pPr>
      <w:r>
        <w:rPr/>
        <w:t>4.3.1.Предъявлять Региональному оператору ТКО, КГО, указанные в Приложении № 1 к настоящему договору и разрешенные к приему на объекте размещения отходов.</w:t>
      </w:r>
    </w:p>
    <w:p>
      <w:pPr>
        <w:pStyle w:val="ConsPlusNormal1"/>
        <w:widowControl/>
        <w:spacing w:before="0" w:after="85"/>
        <w:ind w:firstLine="709"/>
        <w:jc w:val="both"/>
        <w:rPr/>
      </w:pPr>
      <w:r>
        <w:rPr/>
        <w:t>4.3.2.Осуществлять складирование ТКО, КГО в местах  (площадках) накопления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pPr>
      <w:r>
        <w:rPr/>
        <w:t>4.3.3.Обеспечивать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РФ от 24.05.2024 № 671  «</w:t>
      </w:r>
      <w:r>
        <w:rPr>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t>».</w:t>
      </w:r>
    </w:p>
    <w:p>
      <w:pPr>
        <w:pStyle w:val="ConsPlusNormal1"/>
        <w:widowControl/>
        <w:spacing w:before="0" w:after="85"/>
        <w:ind w:firstLine="709"/>
        <w:jc w:val="both"/>
        <w:rPr/>
      </w:pPr>
      <w:r>
        <w:rPr/>
        <w:t>4.3.4.Производить оплату по настоящему договору в порядке, размере и сроки, предусмотренные настоящим договором.</w:t>
      </w:r>
    </w:p>
    <w:p>
      <w:pPr>
        <w:pStyle w:val="ConsPlusNormal1"/>
        <w:widowControl/>
        <w:spacing w:before="0" w:after="85"/>
        <w:ind w:firstLine="709"/>
        <w:jc w:val="both"/>
        <w:rPr/>
      </w:pPr>
      <w:r>
        <w:rPr/>
        <w:t>4.3.5.Не допускать повреждения контейнеров и (или) бункеров, сжигания ТКО, КГО в контейнерах и (или) бункерах, и на контейнерных площадках, складирования в контейнеры  (или) бункерах запрещенных отходов и предметов, не являющихся твердыми коммунальными отходами.</w:t>
      </w:r>
    </w:p>
    <w:p>
      <w:pPr>
        <w:pStyle w:val="ConsPlusNormal1"/>
        <w:widowControl/>
        <w:spacing w:before="0" w:after="85"/>
        <w:ind w:firstLine="709"/>
        <w:jc w:val="both"/>
        <w:rPr/>
      </w:pPr>
      <w:r>
        <w:rPr/>
        <w:t>4.3.6.Не допускать перемещения контейнера (ов) и/или бункера (ов) с площадки без согласования с Региональным оператором.</w:t>
      </w:r>
    </w:p>
    <w:p>
      <w:pPr>
        <w:pStyle w:val="ConsPlusNormal1"/>
        <w:widowControl/>
        <w:spacing w:before="0" w:after="85"/>
        <w:ind w:firstLine="709"/>
        <w:jc w:val="both"/>
        <w:rPr/>
      </w:pPr>
      <w:r>
        <w:rPr/>
        <w:t>4.3.7.Обеспечить Региональному оператору беспрепятственный доступ к месту накопления ТКО, в том числе не допускать наличие припаркованных автомобилей и т.п.</w:t>
        <w:tab/>
      </w:r>
    </w:p>
    <w:p>
      <w:pPr>
        <w:pStyle w:val="ConsPlusNormal1"/>
        <w:widowControl/>
        <w:spacing w:before="0" w:after="85"/>
        <w:ind w:firstLine="709"/>
        <w:jc w:val="both"/>
        <w:rPr/>
      </w:pPr>
      <w:r>
        <w:rPr/>
        <w:t>4.3.8.Обеспечить организацию и содержание контейнерных площадок, в случаях и порядке установленных законодательством РФ.</w:t>
      </w:r>
    </w:p>
    <w:p>
      <w:pPr>
        <w:pStyle w:val="ConsPlusNormal1"/>
        <w:widowControl/>
        <w:spacing w:before="0" w:after="85"/>
        <w:ind w:firstLine="709"/>
        <w:jc w:val="both"/>
        <w:rPr/>
      </w:pPr>
      <w:r>
        <w:rPr/>
        <w:t>4.3.9.В случае обнаружения возгорания ТКО или КГО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телефону:   Тел.: +7 (800) 300 98 04, доб. 1700, 1703.</w:t>
      </w:r>
    </w:p>
    <w:p>
      <w:pPr>
        <w:pStyle w:val="ConsPlusNormal1"/>
        <w:widowControl/>
        <w:spacing w:before="0" w:after="85"/>
        <w:ind w:firstLine="709"/>
        <w:jc w:val="both"/>
        <w:rPr/>
      </w:pPr>
      <w:r>
        <w:rPr/>
        <w:t>4.3.10.Предоставить Региональному оператору по его запросу документацию или сведения, необходимые для исполнения настоящего договора.</w:t>
      </w:r>
    </w:p>
    <w:p>
      <w:pPr>
        <w:pStyle w:val="ConsPlusNormal1"/>
        <w:widowControl/>
        <w:spacing w:before="0" w:after="85"/>
        <w:ind w:firstLine="709"/>
        <w:jc w:val="both"/>
        <w:rPr/>
      </w:pPr>
      <w:r>
        <w:rPr/>
        <w:t>4.3.11.В случае изменения в ходе исполнения настоящего договора сведений, данных, предоставленных Потребителем при заключении договора, предоставить Региональному оператору в течение  5 (пяти) рабочих дней с даты изменений актуальные сведения, данные.</w:t>
      </w:r>
    </w:p>
    <w:p>
      <w:pPr>
        <w:pStyle w:val="ConsPlusNormal1"/>
        <w:widowControl/>
        <w:spacing w:before="0" w:after="85"/>
        <w:ind w:firstLine="709"/>
        <w:jc w:val="both"/>
        <w:rPr/>
      </w:pPr>
      <w:r>
        <w:rPr/>
        <w:t>4.3.12.При необходимости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Полномочия ответственного лица должны быть подтверждены доверенностью, выданной и оформленной в соответствии с требованиями действующего законодательства.</w:t>
      </w:r>
    </w:p>
    <w:p>
      <w:pPr>
        <w:pStyle w:val="ConsPlusNormal1"/>
        <w:widowControl/>
        <w:spacing w:before="0" w:after="85"/>
        <w:ind w:firstLine="709"/>
        <w:jc w:val="both"/>
        <w:rPr/>
      </w:pPr>
      <w:r>
        <w:rPr/>
        <w:t>4.3.13.Уведомить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о переходе прав на объекты потребителя к новому собственнику в течение 5 (пяти) рабочих дней с даты перехода прав на объект (ы).</w:t>
      </w:r>
    </w:p>
    <w:p>
      <w:pPr>
        <w:pStyle w:val="ConsPlusNormal1"/>
        <w:widowControl/>
        <w:spacing w:before="0" w:after="85"/>
        <w:ind w:firstLine="709"/>
        <w:jc w:val="both"/>
        <w:rPr/>
      </w:pPr>
      <w:r>
        <w:rPr/>
        <w:t>4.3.14.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ConsPlusNormal1"/>
        <w:widowControl/>
        <w:spacing w:before="0" w:after="85"/>
        <w:ind w:firstLine="709"/>
        <w:jc w:val="both"/>
        <w:rPr/>
      </w:pPr>
      <w:r>
        <w:rPr/>
        <w:t>4.4.Потребитель (уполномоченная организация) имеет право:</w:t>
      </w:r>
    </w:p>
    <w:p>
      <w:pPr>
        <w:pStyle w:val="ConsPlusNormal1"/>
        <w:widowControl/>
        <w:spacing w:before="0" w:after="85"/>
        <w:ind w:firstLine="709"/>
        <w:jc w:val="both"/>
        <w:rPr/>
      </w:pPr>
      <w:r>
        <w:rPr/>
        <w:t>4.4.1.Получать от Регионального оператора информацию об изменении установленных тарифов в области обращения с ТКО.</w:t>
      </w:r>
    </w:p>
    <w:p>
      <w:pPr>
        <w:pStyle w:val="ConsPlusNormal1"/>
        <w:widowControl/>
        <w:spacing w:before="0" w:after="85"/>
        <w:ind w:firstLine="709"/>
        <w:jc w:val="both"/>
        <w:rPr/>
      </w:pPr>
      <w:r>
        <w:rPr/>
        <w:t>4.4.2.Инициировать проведение сверки расчетов по настоящему договору.</w:t>
      </w:r>
    </w:p>
    <w:p>
      <w:pPr>
        <w:pStyle w:val="ConsPlusNormal1"/>
        <w:widowControl/>
        <w:spacing w:before="0" w:after="85"/>
        <w:ind w:firstLine="709"/>
        <w:jc w:val="both"/>
        <w:rPr/>
      </w:pPr>
      <w:r>
        <w:rPr/>
        <w:t>4.4.3.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pPr>
      <w:r>
        <w:rPr/>
        <w:t>4.4.4. Получать иную информацию от регионального оператора, не противоречащую требованиям законодательства Российской Федерации.</w:t>
      </w:r>
    </w:p>
    <w:p>
      <w:pPr>
        <w:pStyle w:val="ConsPlusNormal1"/>
        <w:widowControl/>
        <w:jc w:val="both"/>
        <w:rPr/>
      </w:pPr>
      <w:r>
        <w:rPr/>
      </w:r>
    </w:p>
    <w:p>
      <w:pPr>
        <w:pStyle w:val="ConsPlusNormal1"/>
        <w:widowControl/>
        <w:numPr>
          <w:ilvl w:val="0"/>
          <w:numId w:val="0"/>
        </w:numPr>
        <w:ind w:hanging="0" w:left="0"/>
        <w:jc w:val="center"/>
        <w:outlineLvl w:val="1"/>
        <w:rPr>
          <w:b/>
        </w:rPr>
      </w:pPr>
      <w:r>
        <w:rPr>
          <w:b/>
        </w:rPr>
        <w:t>V. Порядок осуществления учета объема и (или) массы</w:t>
      </w:r>
    </w:p>
    <w:p>
      <w:pPr>
        <w:pStyle w:val="ConsPlusNormal1"/>
        <w:widowControl/>
        <w:jc w:val="center"/>
        <w:rPr>
          <w:b/>
        </w:rPr>
      </w:pPr>
      <w:r>
        <w:rPr>
          <w:b/>
        </w:rPr>
        <w:t>твердых коммунальных отходов</w:t>
      </w:r>
    </w:p>
    <w:p>
      <w:pPr>
        <w:pStyle w:val="ConsPlusNormal1"/>
        <w:widowControl/>
        <w:jc w:val="both"/>
        <w:rPr/>
      </w:pPr>
      <w:r>
        <w:rPr/>
      </w:r>
    </w:p>
    <w:p>
      <w:pPr>
        <w:pStyle w:val="ConsPlusNormal1"/>
        <w:widowControl/>
        <w:ind w:firstLine="709"/>
        <w:jc w:val="both"/>
        <w:rPr/>
      </w:pPr>
      <w:r>
        <w:rPr/>
        <w:t>5.1.Стороны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w:t>
      </w:r>
      <w:r>
        <w:rPr>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t>», расчетным путем исходя из:</w:t>
      </w:r>
    </w:p>
    <w:p>
      <w:pPr>
        <w:pStyle w:val="Normal"/>
        <w:rPr/>
      </w:pPr>
      <w:r>
        <w:rPr/>
        <w:t>-нормативов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pPr>
        <w:pStyle w:val="Normal"/>
        <w:rPr/>
      </w:pPr>
      <w:r>
        <w:rPr/>
        <w:t>-количества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 а также с учетом средней плотности ТКО, определенной в соответствии с пунктом 5  Правил  коммерческого учета объема и (или) массы твердых коммунальных отходов (в случае, если коммерческий учет осуществляется в показателях массы).</w:t>
      </w:r>
    </w:p>
    <w:p>
      <w:pPr>
        <w:pStyle w:val="ConsPlusNormal1"/>
        <w:widowControl/>
        <w:jc w:val="both"/>
        <w:rPr/>
      </w:pPr>
      <w:r>
        <w:rPr/>
      </w:r>
    </w:p>
    <w:p>
      <w:pPr>
        <w:pStyle w:val="ConsPlusNormal1"/>
        <w:widowControl/>
        <w:numPr>
          <w:ilvl w:val="0"/>
          <w:numId w:val="0"/>
        </w:numPr>
        <w:ind w:hanging="0" w:left="0"/>
        <w:jc w:val="center"/>
        <w:outlineLvl w:val="1"/>
        <w:rPr>
          <w:b/>
        </w:rPr>
      </w:pPr>
      <w:r>
        <w:rPr>
          <w:b/>
        </w:rPr>
        <w:t>VI. Порядок фиксации нарушений по договору</w:t>
      </w:r>
    </w:p>
    <w:p>
      <w:pPr>
        <w:pStyle w:val="ConsPlusNormal1"/>
        <w:widowControl/>
        <w:jc w:val="both"/>
        <w:rPr/>
      </w:pPr>
      <w:r>
        <w:rPr/>
      </w:r>
    </w:p>
    <w:p>
      <w:pPr>
        <w:pStyle w:val="ConsPlusNormal1"/>
        <w:widowControl/>
        <w:spacing w:before="0" w:after="85"/>
        <w:ind w:firstLine="709"/>
        <w:jc w:val="both"/>
        <w:rPr/>
      </w:pPr>
      <w:r>
        <w:rPr/>
        <w:t>6.1.О нарушении условий договора Потребитель (уполномоченная организация) ставит в известность Регионального оператора до 17 часов 00 минут следующего дня по телефонам:</w:t>
        <w:br/>
        <w:t xml:space="preserve"> +7 (800) 300 98 04, доб. _______, _______ с указанием номера договора, адреса объекта обслуживания, наименования потребителя и контактного номера телефона. В противном случае Региональный оператор освобождается от ответственности, при этом риск наступления неблагоприятных последствий несет Потребитель.</w:t>
      </w:r>
    </w:p>
    <w:p>
      <w:pPr>
        <w:pStyle w:val="ConsPlusNormal1"/>
        <w:widowControl/>
        <w:spacing w:before="0" w:after="85"/>
        <w:ind w:firstLine="709"/>
        <w:jc w:val="both"/>
        <w:rPr/>
      </w:pPr>
      <w:r>
        <w:rPr/>
        <w:t>6.2.В случае не устранения допущенных нарушений в срок, предусмотренный пунктом 4.1.5. настоящего договора,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w:t>
      </w:r>
    </w:p>
    <w:p>
      <w:pPr>
        <w:pStyle w:val="ConsPlusNormal1"/>
        <w:widowControl/>
        <w:spacing w:before="0" w:after="85"/>
        <w:ind w:firstLine="709"/>
        <w:jc w:val="both"/>
        <w:rPr/>
      </w:pPr>
      <w:r>
        <w:rPr/>
        <w:t>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pPr>
        <w:pStyle w:val="ConsPlusNormal1"/>
        <w:widowControl/>
        <w:spacing w:before="0" w:after="85"/>
        <w:ind w:firstLine="709"/>
        <w:jc w:val="both"/>
        <w:rPr/>
      </w:pPr>
      <w:r>
        <w:rPr/>
        <w:t>6.3.Региональный оператор в течение 3 (трех)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(трех) рабочих дней со дня получения акта.</w:t>
      </w:r>
    </w:p>
    <w:p>
      <w:pPr>
        <w:pStyle w:val="ConsPlusNormal1"/>
        <w:widowControl/>
        <w:spacing w:before="0" w:after="85"/>
        <w:ind w:firstLine="709"/>
        <w:jc w:val="both"/>
        <w:rPr/>
      </w:pPr>
      <w:r>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pPr>
        <w:pStyle w:val="ConsPlusNormal1"/>
        <w:widowControl/>
        <w:spacing w:before="0" w:after="85"/>
        <w:ind w:firstLine="709"/>
        <w:jc w:val="both"/>
        <w:rPr/>
      </w:pPr>
      <w:r>
        <w:rPr/>
        <w:t>В случае если Региональный оператор не направил подписанный акт или возражения в течение 3 (трех) рабочих дней со дня получения акта,  акт считается согласованным и подписанным Региональным оператором.</w:t>
      </w:r>
    </w:p>
    <w:p>
      <w:pPr>
        <w:pStyle w:val="ConsPlusNormal1"/>
        <w:widowControl/>
        <w:spacing w:before="0" w:after="85"/>
        <w:ind w:firstLine="709"/>
        <w:jc w:val="both"/>
        <w:rPr/>
      </w:pPr>
      <w:r>
        <w:rPr/>
        <w:t>6.4.В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pPr>
        <w:pStyle w:val="ConsPlusNormal1"/>
        <w:widowControl/>
        <w:spacing w:before="0" w:after="85"/>
        <w:ind w:firstLine="709"/>
        <w:jc w:val="both"/>
        <w:rPr/>
      </w:pPr>
      <w:r>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pPr>
        <w:pStyle w:val="ConsPlusNormal1"/>
        <w:widowControl/>
        <w:spacing w:before="0" w:after="85"/>
        <w:ind w:firstLine="709"/>
        <w:jc w:val="both"/>
        <w:rPr/>
      </w:pPr>
      <w:r>
        <w:rPr/>
        <w:t>6.5.Акт должен содержать: а) сведения о заявителе:  (наименование, местонахождение, адрес); 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в) сведения о нарушении соответствующих пунктов договора; г) другие сведения по усмотрению стороны, в том числе материалы фото – и видеосъемки.</w:t>
      </w:r>
    </w:p>
    <w:p>
      <w:pPr>
        <w:pStyle w:val="ConsPlusNormal1"/>
        <w:widowControl/>
        <w:spacing w:before="0" w:after="85"/>
        <w:ind w:firstLine="709"/>
        <w:jc w:val="both"/>
        <w:rPr/>
      </w:pPr>
      <w:r>
        <w:rPr/>
        <w:t>6.6.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pPr>
        <w:pStyle w:val="ConsPlusNormal1"/>
        <w:widowControl/>
        <w:jc w:val="both"/>
        <w:rPr/>
      </w:pPr>
      <w:r>
        <w:rPr/>
      </w:r>
    </w:p>
    <w:p>
      <w:pPr>
        <w:pStyle w:val="ConsPlusNormal1"/>
        <w:widowControl/>
        <w:numPr>
          <w:ilvl w:val="0"/>
          <w:numId w:val="0"/>
        </w:numPr>
        <w:ind w:hanging="0" w:left="0"/>
        <w:jc w:val="center"/>
        <w:outlineLvl w:val="1"/>
        <w:rPr>
          <w:b/>
        </w:rPr>
      </w:pPr>
      <w:r>
        <w:rPr>
          <w:b/>
        </w:rPr>
        <w:t>VII. Ответственность сторон</w:t>
      </w:r>
    </w:p>
    <w:p>
      <w:pPr>
        <w:pStyle w:val="ConsPlusNormal1"/>
        <w:widowControl/>
        <w:jc w:val="both"/>
        <w:rPr/>
      </w:pPr>
      <w:r>
        <w:rPr/>
      </w:r>
    </w:p>
    <w:p>
      <w:pPr>
        <w:pStyle w:val="ConsPlusNormal1"/>
        <w:widowControl/>
        <w:spacing w:before="0" w:after="85"/>
        <w:ind w:firstLine="709"/>
        <w:jc w:val="both"/>
        <w:rPr/>
      </w:pPr>
      <w:r>
        <w:rPr/>
        <w:t>7.1.За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1"/>
        <w:widowControl/>
        <w:spacing w:before="0" w:after="85"/>
        <w:ind w:firstLine="709"/>
        <w:jc w:val="both"/>
        <w:rPr/>
      </w:pPr>
      <w:r>
        <w:rPr/>
        <w:t>7.2.В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pPr>
        <w:pStyle w:val="ConsPlusNormal1"/>
        <w:widowControl/>
        <w:spacing w:before="0" w:after="85"/>
        <w:ind w:firstLine="709"/>
        <w:jc w:val="both"/>
        <w:rPr/>
      </w:pPr>
      <w:r>
        <w:rPr/>
        <w:t>7.3.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ConsPlusNormal1"/>
        <w:widowControl/>
        <w:spacing w:before="0" w:after="85"/>
        <w:ind w:firstLine="709"/>
        <w:jc w:val="both"/>
        <w:rPr/>
      </w:pPr>
      <w:r>
        <w:rPr/>
        <w:t>7.4.Региональный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w:t>
      </w:r>
    </w:p>
    <w:p>
      <w:pPr>
        <w:pStyle w:val="ConsPlusNormal1"/>
        <w:widowControl/>
        <w:spacing w:before="0" w:after="85"/>
        <w:ind w:firstLine="709"/>
        <w:jc w:val="both"/>
        <w:rPr/>
      </w:pPr>
      <w:r>
        <w:rPr/>
        <w:t>К таким обстоятельствам относятся, в частности: отсутствие беспрепятственного доступа мусоровоза к месту (площадке) накопления отходов (в том числе из–за парковки автомобилей, неочищенных от снега подъездных путей и т.п.), перемещение Потребителем контейнеров с места (площадки) накопления отходов, возгорание отходов в контейнерах и др.</w:t>
      </w:r>
    </w:p>
    <w:p>
      <w:pPr>
        <w:pStyle w:val="ConsPlusNormal1"/>
        <w:widowControl/>
        <w:spacing w:before="0" w:after="85"/>
        <w:ind w:firstLine="709"/>
        <w:jc w:val="both"/>
        <w:rPr/>
      </w:pPr>
      <w:r>
        <w:rPr/>
        <w:t>При этом Региональным оператором (представителем Регионального оператора) может быть составлен акт о невозможности исполнения обязательств.</w:t>
      </w:r>
    </w:p>
    <w:p>
      <w:pPr>
        <w:pStyle w:val="ConsPlusNormal1"/>
        <w:widowControl/>
        <w:spacing w:before="0" w:after="85"/>
        <w:ind w:firstLine="709"/>
        <w:jc w:val="both"/>
        <w:rPr/>
      </w:pPr>
      <w:r>
        <w:rPr/>
        <w:t>7.5.Потребитель несет ответственность за недостоверность данных, предоставленных Региональному оператору. В случае выявления Региональным оператором недостоверности предоставленных потребителем сведений, которые привели к искажению, в т.ч. занижению объемов накопления ТКО при расчете по договору, Региональный оператор вправе произвести перерасчет стоимости услуг за весь период действия настоящего договора, с учетом фактических данных.</w:t>
      </w:r>
    </w:p>
    <w:p>
      <w:pPr>
        <w:pStyle w:val="ConsPlusNormal1"/>
        <w:widowControl/>
        <w:spacing w:before="0" w:after="85"/>
        <w:ind w:firstLine="709"/>
        <w:jc w:val="both"/>
        <w:rPr/>
      </w:pPr>
      <w:r>
        <w:rPr/>
      </w:r>
    </w:p>
    <w:p>
      <w:pPr>
        <w:pStyle w:val="ConsPlusNormal1"/>
        <w:widowControl/>
        <w:numPr>
          <w:ilvl w:val="0"/>
          <w:numId w:val="0"/>
        </w:numPr>
        <w:ind w:hanging="0" w:left="0"/>
        <w:jc w:val="center"/>
        <w:outlineLvl w:val="1"/>
        <w:rPr>
          <w:b/>
        </w:rPr>
      </w:pPr>
      <w:r>
        <w:rPr>
          <w:b/>
        </w:rPr>
        <w:t>VIII. Обстоятельства непреодолимой силы</w:t>
      </w:r>
    </w:p>
    <w:p>
      <w:pPr>
        <w:pStyle w:val="ConsPlusNormal1"/>
        <w:widowControl/>
        <w:jc w:val="both"/>
        <w:rPr/>
      </w:pPr>
      <w:r>
        <w:rPr/>
      </w:r>
    </w:p>
    <w:p>
      <w:pPr>
        <w:pStyle w:val="ConsPlusNormal1"/>
        <w:widowControl/>
        <w:spacing w:before="0" w:after="85"/>
        <w:ind w:firstLine="709"/>
        <w:jc w:val="both"/>
        <w:rPr/>
      </w:pPr>
      <w:r>
        <w:rPr/>
        <w:t>8.1.Стороны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ConsPlusNormal1"/>
        <w:widowControl/>
        <w:spacing w:before="0" w:after="85"/>
        <w:ind w:firstLine="709"/>
        <w:jc w:val="both"/>
        <w:rPr/>
      </w:pPr>
      <w:r>
        <w:rPr/>
        <w:t>8.2.При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1"/>
        <w:widowControl/>
        <w:spacing w:before="0" w:after="85"/>
        <w:ind w:firstLine="709"/>
        <w:jc w:val="both"/>
        <w:rPr/>
      </w:pPr>
      <w:r>
        <w:rPr/>
        <w:t>8.3.Сторона,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pPr>
        <w:pStyle w:val="ConsPlusNormal1"/>
        <w:widowControl/>
        <w:spacing w:before="0" w:after="85"/>
        <w:ind w:firstLine="709"/>
        <w:jc w:val="both"/>
        <w:rPr/>
      </w:pPr>
      <w:r>
        <w:rPr/>
        <w:t>8.4.Сторона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ConsPlusNormal1"/>
        <w:widowControl/>
        <w:jc w:val="both"/>
        <w:rPr/>
      </w:pPr>
      <w:r>
        <w:rPr/>
      </w:r>
    </w:p>
    <w:p>
      <w:pPr>
        <w:pStyle w:val="ConsPlusNormal1"/>
        <w:widowControl/>
        <w:numPr>
          <w:ilvl w:val="0"/>
          <w:numId w:val="0"/>
        </w:numPr>
        <w:ind w:hanging="0" w:left="0"/>
        <w:jc w:val="center"/>
        <w:outlineLvl w:val="1"/>
        <w:rPr>
          <w:b/>
        </w:rPr>
      </w:pPr>
      <w:r>
        <w:rPr>
          <w:b/>
        </w:rPr>
        <w:t>IX Действие договора</w:t>
      </w:r>
    </w:p>
    <w:p>
      <w:pPr>
        <w:pStyle w:val="ConsPlusNormal1"/>
        <w:widowControl/>
        <w:ind w:firstLine="567"/>
        <w:jc w:val="both"/>
        <w:rPr/>
      </w:pPr>
      <w:r>
        <w:rPr/>
      </w:r>
    </w:p>
    <w:p>
      <w:pPr>
        <w:pStyle w:val="ConsPlusNormal1"/>
        <w:widowControl/>
        <w:ind w:firstLine="567"/>
        <w:jc w:val="both"/>
        <w:rPr/>
      </w:pPr>
      <w:r>
        <w:rPr/>
        <w:t>9.1.Настоящий договор считается заключенным с даты подписания его Сторонами, указываемой Региональным оператором в правом верхнем углу на первой странице договора, распространяет свое действие на отношения Сторон, возникшие с _______________ и действует   по____________</w:t>
      </w:r>
    </w:p>
    <w:p>
      <w:pPr>
        <w:pStyle w:val="ConsPlusNormal1"/>
        <w:widowControl/>
        <w:ind w:firstLine="567"/>
        <w:jc w:val="both"/>
        <w:rPr/>
      </w:pPr>
      <w:r>
        <w:rPr/>
        <w:t>9.2.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ConsPlusNormal1"/>
        <w:widowControl/>
        <w:ind w:firstLine="567"/>
        <w:jc w:val="both"/>
        <w:rPr/>
      </w:pPr>
      <w:r>
        <w:rPr/>
        <w:t>9.3. Настоящий договор может продлеваться не более чем по ________________.</w:t>
        <w:tab/>
      </w:r>
    </w:p>
    <w:p>
      <w:pPr>
        <w:pStyle w:val="ConsPlusNormal1"/>
        <w:widowControl/>
        <w:ind w:firstLine="567"/>
        <w:jc w:val="both"/>
        <w:rPr/>
      </w:pPr>
      <w:r>
        <w:rPr/>
        <w:t>9.4.Настоящий договор может быть расторгнут до окончания срока его действия:</w:t>
      </w:r>
    </w:p>
    <w:p>
      <w:pPr>
        <w:pStyle w:val="ConsPlusNormal1"/>
        <w:widowControl/>
        <w:ind w:firstLine="567"/>
        <w:jc w:val="both"/>
        <w:rPr/>
      </w:pPr>
      <w:r>
        <w:rPr/>
        <w:t>-по соглашению Сторон;</w:t>
      </w:r>
    </w:p>
    <w:p>
      <w:pPr>
        <w:pStyle w:val="ConsPlusNormal1"/>
        <w:widowControl/>
        <w:ind w:firstLine="567"/>
        <w:jc w:val="both"/>
        <w:rPr/>
      </w:pPr>
      <w:r>
        <w:rPr/>
        <w:t>-в случаях и порядке, предусмотренных действующим законодательством РФ.</w:t>
      </w:r>
    </w:p>
    <w:p>
      <w:pPr>
        <w:pStyle w:val="ConsPlusNormal1"/>
        <w:widowControl/>
        <w:jc w:val="both"/>
        <w:rPr/>
      </w:pPr>
      <w:r>
        <w:rPr/>
      </w:r>
    </w:p>
    <w:p>
      <w:pPr>
        <w:pStyle w:val="ConsPlusNormal1"/>
        <w:widowControl/>
        <w:numPr>
          <w:ilvl w:val="0"/>
          <w:numId w:val="0"/>
        </w:numPr>
        <w:ind w:hanging="0" w:left="0"/>
        <w:jc w:val="center"/>
        <w:outlineLvl w:val="1"/>
        <w:rPr>
          <w:b/>
        </w:rPr>
      </w:pPr>
      <w:r>
        <w:rPr>
          <w:b/>
        </w:rPr>
        <w:t>X. Разрешение споров</w:t>
      </w:r>
    </w:p>
    <w:p>
      <w:pPr>
        <w:pStyle w:val="ConsPlusNormal1"/>
        <w:widowControl/>
        <w:jc w:val="both"/>
        <w:rPr/>
      </w:pPr>
      <w:r>
        <w:rPr/>
      </w:r>
    </w:p>
    <w:p>
      <w:pPr>
        <w:pStyle w:val="ConsPlusNormal1"/>
        <w:widowControl/>
        <w:ind w:firstLine="567"/>
        <w:jc w:val="both"/>
        <w:rPr/>
      </w:pPr>
      <w:r>
        <w:rPr/>
        <w:t>10.1.Все споры и разногласия, возникающие между Сторонами в рамках настоящего договора, могут быть переданы на рассмотрение суда только после соблюдения претензионного порядка. Заинтересованная сторона вручает, направляет заказным письмом претензию другой стороне.</w:t>
      </w:r>
    </w:p>
    <w:p>
      <w:pPr>
        <w:pStyle w:val="ConsPlusNormal1"/>
        <w:widowControl/>
        <w:ind w:firstLine="567"/>
        <w:jc w:val="both"/>
        <w:rPr/>
      </w:pPr>
      <w:r>
        <w:rPr/>
        <w:t>10.2.Заинтересованная сторона приобретает право обратиться в суд по истечении 14 (четырнадцати) календарных дней с момента направления претензии другой Стороне.</w:t>
      </w:r>
    </w:p>
    <w:p>
      <w:pPr>
        <w:pStyle w:val="ConsPlusNormal1"/>
        <w:widowControl/>
        <w:jc w:val="both"/>
        <w:rPr/>
      </w:pPr>
      <w:r>
        <w:rPr/>
        <w:t>10.3.Споры, возникающие при исполнении настоящего договора, подлежат рассмотрению в Арбитражном суде Краснодарского края.</w:t>
      </w:r>
    </w:p>
    <w:p>
      <w:pPr>
        <w:pStyle w:val="ConsPlusNormal1"/>
        <w:widowControl/>
        <w:jc w:val="both"/>
        <w:rPr>
          <w:b/>
        </w:rPr>
      </w:pPr>
      <w:r>
        <w:rPr>
          <w:b/>
        </w:rPr>
      </w:r>
    </w:p>
    <w:p>
      <w:pPr>
        <w:pStyle w:val="ConsPlusNormal1"/>
        <w:widowControl/>
        <w:jc w:val="both"/>
        <w:rPr>
          <w:b/>
        </w:rPr>
      </w:pPr>
      <w:r>
        <w:rPr>
          <w:b/>
        </w:rPr>
        <w:t xml:space="preserve">                                                                 </w:t>
      </w:r>
      <w:r>
        <w:rPr>
          <w:b/>
        </w:rPr>
        <w:t>XI. Прочие условия</w:t>
      </w:r>
      <w:r>
        <w:rPr/>
        <w:tab/>
      </w:r>
    </w:p>
    <w:p>
      <w:pPr>
        <w:pStyle w:val="ConsPlusNormal1"/>
        <w:widowControl/>
        <w:ind w:firstLine="567"/>
        <w:jc w:val="both"/>
        <w:rPr/>
      </w:pPr>
      <w:r>
        <w:rPr/>
        <w:t xml:space="preserve"> </w:t>
      </w:r>
      <w:r>
        <w:rPr/>
        <w:t>11.1.Во всем остальном, не предусмотренном настоящим договором, Стороны руководствуются действующим законодательством Российской Федерации.</w:t>
      </w:r>
    </w:p>
    <w:p>
      <w:pPr>
        <w:pStyle w:val="ConsPlusNormal1"/>
        <w:widowControl/>
        <w:ind w:firstLine="567"/>
        <w:jc w:val="both"/>
        <w:rPr/>
      </w:pPr>
      <w:r>
        <w:rPr/>
        <w:t>11.2.Право собственности на ТКО, предъявленные в рамках настоящего договора, переходит к Региональному оператору с момента погрузки ТКО в мусоровоз.</w:t>
      </w:r>
    </w:p>
    <w:p>
      <w:pPr>
        <w:pStyle w:val="ConsPlusNormal1"/>
        <w:widowControl/>
        <w:ind w:firstLine="567"/>
        <w:jc w:val="both"/>
        <w:rPr/>
      </w:pPr>
      <w:r>
        <w:rPr/>
        <w:t>11.3.Все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pPr>
        <w:pStyle w:val="ConsPlusNormal1"/>
        <w:widowControl/>
        <w:ind w:firstLine="567"/>
        <w:jc w:val="both"/>
        <w:rPr/>
      </w:pPr>
      <w:r>
        <w:rPr/>
        <w:t>11.4.В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 подтвердить его получение.</w:t>
      </w:r>
    </w:p>
    <w:p>
      <w:pPr>
        <w:pStyle w:val="ConsPlusNormal1"/>
        <w:widowControl/>
        <w:ind w:firstLine="567"/>
        <w:jc w:val="both"/>
        <w:rPr/>
      </w:pPr>
      <w:r>
        <w:rPr/>
        <w:t>11.5.При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pPr>
        <w:pStyle w:val="ConsPlusNormal1"/>
        <w:widowControl/>
        <w:ind w:firstLine="567"/>
        <w:jc w:val="both"/>
        <w:rPr/>
      </w:pPr>
      <w:r>
        <w:rPr/>
        <w:t>11.6.По взаимному согласию Стороны при наличии возможности для организации электронного документооборота (далее – ЭДО) Стороны вправе использовать квалифицированную электронную цифровую подпись (далее по тексту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«Об электронной подписи».</w:t>
      </w:r>
    </w:p>
    <w:p>
      <w:pPr>
        <w:pStyle w:val="ConsPlusNormal1"/>
        <w:widowControl/>
        <w:ind w:firstLine="567"/>
        <w:jc w:val="both"/>
        <w:rPr/>
      </w:pPr>
      <w:r>
        <w:rPr/>
        <w:t>11.6.1.Электронные документы, отправляемые Стороной посредством системы ЭДО, подписываются квалифицированной электронной  цифровой подписью (далее – ЭЦП).</w:t>
      </w:r>
    </w:p>
    <w:p>
      <w:pPr>
        <w:pStyle w:val="ConsPlusNormal1"/>
        <w:widowControl/>
        <w:ind w:firstLine="567"/>
        <w:jc w:val="both"/>
        <w:rPr/>
      </w:pPr>
      <w:r>
        <w:rPr/>
        <w:t>11.6.2.Потребитель после получения документов от Регионального оператора посредством ЭДО подписывает документы ЭЦП и отправляет их в адрес Регионального оператора в сроки, указанные в пункте 2.5. настоящего договора посредством ЭДО, либо направляет  в адрес Регионального оператора мотивированный письменный отказ от их подписания.</w:t>
      </w:r>
    </w:p>
    <w:p>
      <w:pPr>
        <w:pStyle w:val="ConsPlusNormal1"/>
        <w:widowControl/>
        <w:ind w:firstLine="567"/>
        <w:jc w:val="both"/>
        <w:rPr/>
      </w:pPr>
      <w:r>
        <w:rPr/>
        <w:t>11.6.3.Стороны признают, что ЭЦП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pPr>
        <w:pStyle w:val="ConsPlusNormal1"/>
        <w:widowControl/>
        <w:ind w:firstLine="567"/>
        <w:jc w:val="both"/>
        <w:rPr/>
      </w:pPr>
      <w:r>
        <w:rPr/>
        <w:t>11.6.4. 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pPr>
        <w:pStyle w:val="ConsPlusNormal1"/>
        <w:widowControl/>
        <w:ind w:firstLine="567"/>
        <w:jc w:val="both"/>
        <w:rPr/>
      </w:pPr>
      <w:r>
        <w:rPr/>
        <w:t>11.6.5.Стороны обязаны заблаговременно информировать друг друга о невозможности обмена документами в электронном виде, подписанными ЭЦП,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2.5. настоящего договора.</w:t>
      </w:r>
    </w:p>
    <w:p>
      <w:pPr>
        <w:pStyle w:val="ConsPlusNormal1"/>
        <w:widowControl/>
        <w:ind w:firstLine="567"/>
        <w:jc w:val="both"/>
        <w:rPr/>
      </w:pPr>
      <w:r>
        <w:rPr/>
        <w:t>11.6.6.Электронный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pPr>
        <w:pStyle w:val="ConsPlusNormal1"/>
        <w:widowControl/>
        <w:ind w:firstLine="567"/>
        <w:jc w:val="both"/>
        <w:rPr/>
      </w:pPr>
      <w:r>
        <w:rPr/>
        <w:t>11.6.7.Каждая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Если в сертификате ЭЦП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pPr>
        <w:pStyle w:val="ConsPlusNormal1"/>
        <w:widowControl/>
        <w:ind w:firstLine="567"/>
        <w:jc w:val="both"/>
        <w:rPr/>
      </w:pPr>
      <w:r>
        <w:rPr/>
        <w:t>11.6.8.Наличие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pPr>
        <w:pStyle w:val="ConsPlusNormal1"/>
        <w:widowControl/>
        <w:ind w:firstLine="567"/>
        <w:jc w:val="both"/>
        <w:rPr/>
      </w:pPr>
      <w:r>
        <w:rPr/>
        <w:t>11.7.Стороны пришли к соглашению, что положения статьи 317.1 ГК РФ не распространяются на отношения, возникшие в рамках настоящего договора.</w:t>
      </w:r>
    </w:p>
    <w:p>
      <w:pPr>
        <w:pStyle w:val="ConsPlusNormal1"/>
        <w:widowControl/>
        <w:ind w:firstLine="567"/>
        <w:jc w:val="both"/>
        <w:rPr/>
      </w:pPr>
      <w:r>
        <w:rPr/>
        <w:t>11.8.Настоящий договор составлен в 2 (двух) экземплярах, имеющих равную юридическую силу, по одному экземпляру для каждой из Сторон.</w:t>
      </w:r>
    </w:p>
    <w:p>
      <w:pPr>
        <w:pStyle w:val="ConsPlusNormal1"/>
        <w:widowControl/>
        <w:ind w:firstLine="567"/>
        <w:jc w:val="both"/>
        <w:rPr/>
      </w:pPr>
      <w:r>
        <w:rPr/>
        <w:t>11.9.Стороны договора,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ConsPlusNormal1"/>
        <w:widowControl/>
        <w:ind w:firstLine="567"/>
        <w:jc w:val="both"/>
        <w:rPr/>
      </w:pPr>
      <w:r>
        <w:rPr/>
        <w:t>Для исполнения договора не допускается осуществлять действия, квалифицированные как дача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w:t>
      </w:r>
    </w:p>
    <w:p>
      <w:pPr>
        <w:pStyle w:val="ConsPlusNormal1"/>
        <w:widowControl/>
        <w:ind w:firstLine="567"/>
        <w:jc w:val="both"/>
        <w:rPr/>
      </w:pPr>
      <w:r>
        <w:rPr/>
        <w:t>В случае возникновения у стороны договора реальных оснований полагать о возможном нарушении данных требований она должна письменно уведомит об этом другую сторону.</w:t>
      </w:r>
    </w:p>
    <w:p>
      <w:pPr>
        <w:pStyle w:val="ConsPlusNormal1"/>
        <w:widowControl/>
        <w:ind w:firstLine="567"/>
        <w:jc w:val="both"/>
        <w:rPr/>
      </w:pPr>
      <w:r>
        <w:rPr/>
        <w:t>11.10.Приложения к настоящему договору являются его неотъемлемой частью. К настоящему договору прилагаются:</w:t>
      </w:r>
    </w:p>
    <w:p>
      <w:pPr>
        <w:pStyle w:val="ConsPlusNormal1"/>
        <w:widowControl/>
        <w:ind w:firstLine="567"/>
        <w:jc w:val="both"/>
        <w:rPr/>
      </w:pPr>
      <w:r>
        <w:rPr/>
        <w:t>11.11. Спорные вопросы между сторонами урегулируются в соответствии с законодательством Российской Федерации.</w:t>
      </w:r>
    </w:p>
    <w:p>
      <w:pPr>
        <w:pStyle w:val="ConsPlusNormal1"/>
        <w:widowControl/>
        <w:ind w:firstLine="567"/>
        <w:jc w:val="both"/>
        <w:rPr/>
      </w:pPr>
      <w:r>
        <w:rPr/>
        <w:t>Приложение № 1: информация по предмету договора.</w:t>
        <w:tab/>
      </w:r>
    </w:p>
    <w:p>
      <w:pPr>
        <w:pStyle w:val="ConsPlusNormal1"/>
        <w:widowControl/>
        <w:jc w:val="both"/>
        <w:rPr/>
      </w:pPr>
      <w:r>
        <w:rPr/>
      </w:r>
    </w:p>
    <w:tbl>
      <w:tblPr>
        <w:tblW w:w="1024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78"/>
        <w:gridCol w:w="1112"/>
        <w:gridCol w:w="4456"/>
      </w:tblGrid>
      <w:tr>
        <w:trPr/>
        <w:tc>
          <w:tcPr>
            <w:tcW w:w="4678" w:type="dxa"/>
            <w:tcBorders/>
          </w:tcPr>
          <w:p>
            <w:pPr>
              <w:pStyle w:val="ConsPlusNormal1"/>
              <w:widowControl/>
              <w:jc w:val="center"/>
              <w:rPr/>
            </w:pPr>
            <w:r>
              <w:rPr/>
              <w:t>Региональный оператор</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Потребитель</w:t>
            </w:r>
          </w:p>
          <w:p>
            <w:pPr>
              <w:pStyle w:val="ConsPlusNormal1"/>
              <w:widowControl/>
              <w:jc w:val="center"/>
              <w:rPr/>
            </w:pPr>
            <w:r>
              <w:rPr/>
              <w:t>(уполномоченная организация)</w:t>
            </w:r>
          </w:p>
        </w:tc>
      </w:tr>
      <w:tr>
        <w:trPr/>
        <w:tc>
          <w:tcPr>
            <w:tcW w:w="4678" w:type="dxa"/>
            <w:tcBorders>
              <w:bottom w:val="single" w:sz="4" w:space="0" w:color="000000"/>
            </w:tcBorders>
          </w:tcPr>
          <w:p>
            <w:pPr>
              <w:pStyle w:val="ConsPlusNormal1"/>
              <w:widowControl/>
              <w:jc w:val="center"/>
              <w:rPr/>
            </w:pPr>
            <w:r>
              <w:rPr/>
            </w:r>
          </w:p>
        </w:tc>
        <w:tc>
          <w:tcPr>
            <w:tcW w:w="1112" w:type="dxa"/>
            <w:tcBorders/>
          </w:tcPr>
          <w:p>
            <w:pPr>
              <w:pStyle w:val="ConsPlusNormal1"/>
              <w:widowControl/>
              <w:jc w:val="center"/>
              <w:rPr/>
            </w:pPr>
            <w:r>
              <w:rPr/>
            </w:r>
          </w:p>
        </w:tc>
        <w:tc>
          <w:tcPr>
            <w:tcW w:w="4456" w:type="dxa"/>
            <w:tcBorders>
              <w:bottom w:val="single" w:sz="4" w:space="0" w:color="000000"/>
            </w:tcBorders>
          </w:tcPr>
          <w:p>
            <w:pPr>
              <w:pStyle w:val="ConsPlusNormal1"/>
              <w:widowControl/>
              <w:jc w:val="center"/>
              <w:rPr/>
            </w:pPr>
            <w:r>
              <w:rPr/>
            </w:r>
          </w:p>
        </w:tc>
      </w:tr>
      <w:tr>
        <w:trPr/>
        <w:tc>
          <w:tcPr>
            <w:tcW w:w="4678" w:type="dxa"/>
            <w:tcBorders>
              <w:top w:val="single" w:sz="4" w:space="0" w:color="000000"/>
            </w:tcBorders>
          </w:tcPr>
          <w:p>
            <w:pPr>
              <w:pStyle w:val="ConsPlusNormal1"/>
              <w:widowControl/>
              <w:jc w:val="center"/>
              <w:rPr>
                <w:sz w:val="22"/>
              </w:rPr>
            </w:pPr>
            <w:r>
              <w:rPr>
                <w:sz w:val="22"/>
              </w:rPr>
              <w:t>(подпись)</w:t>
            </w:r>
          </w:p>
        </w:tc>
        <w:tc>
          <w:tcPr>
            <w:tcW w:w="1112" w:type="dxa"/>
            <w:tcBorders/>
          </w:tcPr>
          <w:p>
            <w:pPr>
              <w:pStyle w:val="ConsPlusNormal1"/>
              <w:widowControl/>
              <w:jc w:val="center"/>
              <w:rPr/>
            </w:pPr>
            <w:r>
              <w:rPr/>
            </w:r>
          </w:p>
        </w:tc>
        <w:tc>
          <w:tcPr>
            <w:tcW w:w="4456" w:type="dxa"/>
            <w:tcBorders>
              <w:top w:val="single" w:sz="4" w:space="0" w:color="000000"/>
            </w:tcBorders>
          </w:tcPr>
          <w:p>
            <w:pPr>
              <w:pStyle w:val="ConsPlusNormal1"/>
              <w:widowControl/>
              <w:jc w:val="center"/>
              <w:rPr>
                <w:sz w:val="22"/>
              </w:rPr>
            </w:pPr>
            <w:r>
              <w:rPr>
                <w:sz w:val="22"/>
              </w:rPr>
              <w:t>(подпись)</w:t>
            </w:r>
          </w:p>
        </w:tc>
      </w:tr>
      <w:tr>
        <w:trPr/>
        <w:tc>
          <w:tcPr>
            <w:tcW w:w="4678" w:type="dxa"/>
            <w:tcBorders/>
          </w:tcPr>
          <w:p>
            <w:pPr>
              <w:pStyle w:val="ConsPlusNormal1"/>
              <w:widowControl/>
              <w:jc w:val="center"/>
              <w:rPr/>
            </w:pPr>
            <w:r>
              <w:rPr/>
              <w:t>"__" _____________ 20__ г.</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"__" _____________ 20__ г.</w:t>
            </w:r>
          </w:p>
        </w:tc>
      </w:tr>
    </w:tbl>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t>13. Адреса и реквизиты Сторон:</w:t>
      </w:r>
    </w:p>
    <w:p>
      <w:pPr>
        <w:pStyle w:val="Normal"/>
        <w:ind w:firstLine="567"/>
        <w:jc w:val="center"/>
        <w:rPr>
          <w:sz w:val="21"/>
        </w:rPr>
      </w:pPr>
      <w:r>
        <w:rPr>
          <w:sz w:val="21"/>
        </w:rPr>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ind w:right="-285"/>
              <w:rPr>
                <w:b/>
                <w:sz w:val="21"/>
              </w:rPr>
            </w:pPr>
            <w:r>
              <w:rPr>
                <w:b/>
                <w:sz w:val="21"/>
              </w:rPr>
              <w:t>АО «Крайжилкомресурс»</w:t>
            </w:r>
          </w:p>
          <w:p>
            <w:pPr>
              <w:pStyle w:val="Normal"/>
              <w:rPr>
                <w:sz w:val="21"/>
              </w:rPr>
            </w:pPr>
            <w:r>
              <w:rPr>
                <w:sz w:val="21"/>
              </w:rPr>
              <w:t>Юридический адрес: 350020, Краснодарский край, Краснодар г, Рашпилевская ул,</w:t>
            </w:r>
          </w:p>
          <w:p>
            <w:pPr>
              <w:pStyle w:val="Normal"/>
              <w:rPr>
                <w:sz w:val="21"/>
              </w:rPr>
            </w:pPr>
            <w:r>
              <w:rPr>
                <w:sz w:val="21"/>
              </w:rPr>
              <w:t>дом № 181, помещение 40/2</w:t>
            </w:r>
          </w:p>
          <w:p>
            <w:pPr>
              <w:pStyle w:val="Normal"/>
              <w:rPr>
                <w:sz w:val="21"/>
              </w:rPr>
            </w:pPr>
            <w:r>
              <w:rPr>
                <w:sz w:val="21"/>
              </w:rPr>
              <w:t>тел. (факс) 8 (861) 259–00–03</w:t>
            </w:r>
          </w:p>
          <w:p>
            <w:pPr>
              <w:pStyle w:val="Normal"/>
              <w:rPr>
                <w:sz w:val="21"/>
              </w:rPr>
            </w:pPr>
            <w:r>
              <w:rPr>
                <w:sz w:val="21"/>
              </w:rPr>
              <w:t>ИНН 2308124997, ОГРН 1062308034920</w:t>
            </w:r>
          </w:p>
          <w:p>
            <w:pPr>
              <w:pStyle w:val="Normal"/>
              <w:rPr>
                <w:sz w:val="21"/>
              </w:rPr>
            </w:pPr>
            <w:r>
              <w:rPr>
                <w:sz w:val="21"/>
              </w:rPr>
              <w:t xml:space="preserve">официальный сайт: </w:t>
            </w:r>
            <w:hyperlink r:id="rId2">
              <w:r>
                <w:rPr>
                  <w:rStyle w:val="Style"/>
                  <w:sz w:val="21"/>
                </w:rPr>
                <w:t>www.kgkr.ru</w:t>
              </w:r>
            </w:hyperlink>
          </w:p>
          <w:p>
            <w:pPr>
              <w:pStyle w:val="Normal"/>
              <w:rPr>
                <w:sz w:val="21"/>
              </w:rPr>
            </w:pPr>
            <w:r>
              <w:rPr>
                <w:sz w:val="21"/>
              </w:rPr>
              <w:t xml:space="preserve">е–mail: </w:t>
            </w:r>
            <w:hyperlink r:id="rId3">
              <w:r>
                <w:rPr>
                  <w:rStyle w:val="Hyperlink"/>
                  <w:color w:val="000000"/>
                  <w:sz w:val="21"/>
                  <w:u w:val="none"/>
                </w:rPr>
                <w:t>mail@kgkr.ru</w:t>
              </w:r>
            </w:hyperlink>
          </w:p>
          <w:p>
            <w:pPr>
              <w:pStyle w:val="Normal"/>
              <w:rPr>
                <w:sz w:val="21"/>
              </w:rPr>
            </w:pPr>
            <w:r>
              <w:rPr>
                <w:sz w:val="21"/>
              </w:rPr>
            </w:r>
          </w:p>
          <w:p>
            <w:pPr>
              <w:pStyle w:val="Normal"/>
              <w:rPr>
                <w:sz w:val="21"/>
              </w:rPr>
            </w:pPr>
            <w:r>
              <w:rPr>
                <w:sz w:val="21"/>
              </w:rPr>
              <w:t>Филиал АО «Крайжилкомресурс»</w:t>
            </w:r>
          </w:p>
          <w:p>
            <w:pPr>
              <w:pStyle w:val="Normal"/>
              <w:rPr>
                <w:sz w:val="21"/>
              </w:rPr>
            </w:pPr>
            <w:r>
              <w:rPr>
                <w:sz w:val="21"/>
              </w:rPr>
              <w:t>«______________________________________»</w:t>
            </w:r>
          </w:p>
          <w:p>
            <w:pPr>
              <w:pStyle w:val="Normal"/>
              <w:rPr>
                <w:sz w:val="21"/>
              </w:rPr>
            </w:pPr>
            <w:r>
              <w:rPr>
                <w:sz w:val="21"/>
              </w:rPr>
              <w:t>Адрес местонахождения: __________________</w:t>
            </w:r>
          </w:p>
          <w:p>
            <w:pPr>
              <w:pStyle w:val="Normal"/>
              <w:rPr>
                <w:sz w:val="21"/>
              </w:rPr>
            </w:pPr>
            <w:r>
              <w:rPr>
                <w:sz w:val="21"/>
              </w:rPr>
              <w:t>ИНН 2308124997, КПП ___________________</w:t>
            </w:r>
          </w:p>
          <w:p>
            <w:pPr>
              <w:pStyle w:val="Normal"/>
              <w:rPr>
                <w:sz w:val="21"/>
              </w:rPr>
            </w:pPr>
            <w:r>
              <w:rPr>
                <w:sz w:val="21"/>
              </w:rPr>
              <w:t>Банковские реквизиты ____________________</w:t>
            </w:r>
          </w:p>
          <w:p>
            <w:pPr>
              <w:pStyle w:val="Normal"/>
              <w:rPr>
                <w:sz w:val="21"/>
              </w:rPr>
            </w:pPr>
            <w:r>
              <w:rPr>
                <w:sz w:val="21"/>
              </w:rPr>
              <w:t>________________________________________</w:t>
            </w:r>
          </w:p>
          <w:p>
            <w:pPr>
              <w:pStyle w:val="Normal"/>
              <w:rPr>
                <w:sz w:val="21"/>
              </w:rPr>
            </w:pPr>
            <w:r>
              <w:rPr>
                <w:sz w:val="21"/>
              </w:rPr>
              <w:t>________________________________________</w:t>
            </w:r>
          </w:p>
          <w:p>
            <w:pPr>
              <w:pStyle w:val="Normal"/>
              <w:rPr>
                <w:sz w:val="21"/>
              </w:rPr>
            </w:pPr>
            <w:r>
              <w:rPr>
                <w:sz w:val="21"/>
              </w:rPr>
              <w:t>тел.: ____________________________________</w:t>
            </w:r>
          </w:p>
          <w:p>
            <w:pPr>
              <w:pStyle w:val="Normal"/>
              <w:rPr>
                <w:sz w:val="21"/>
              </w:rPr>
            </w:pPr>
            <w:r>
              <w:rPr>
                <w:sz w:val="21"/>
              </w:rPr>
              <w:t xml:space="preserve">е–mail: </w:t>
              <w:tab/>
              <w:t>_________________________________</w:t>
            </w:r>
          </w:p>
          <w:p>
            <w:pPr>
              <w:pStyle w:val="Normal"/>
              <w:rPr>
                <w:sz w:val="21"/>
              </w:rPr>
            </w:pPr>
            <w:r>
              <w:rPr>
                <w:sz w:val="21"/>
              </w:rPr>
            </w:r>
          </w:p>
          <w:p>
            <w:pPr>
              <w:pStyle w:val="Normal"/>
              <w:rPr>
                <w:sz w:val="21"/>
              </w:rPr>
            </w:pPr>
            <w:r>
              <w:rPr>
                <w:sz w:val="21"/>
              </w:rPr>
            </w:r>
          </w:p>
          <w:p>
            <w:pPr>
              <w:pStyle w:val="Normal"/>
              <w:rPr>
                <w:sz w:val="21"/>
              </w:rPr>
            </w:pPr>
            <w:r>
              <w:rPr>
                <w:sz w:val="21"/>
              </w:rPr>
              <w:t>_______________________________</w:t>
            </w:r>
          </w:p>
          <w:p>
            <w:pPr>
              <w:pStyle w:val="Normal"/>
              <w:rPr>
                <w:sz w:val="21"/>
              </w:rPr>
            </w:pPr>
            <w:r>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115"/>
              <w:rPr>
                <w:sz w:val="21"/>
                <w:u w:val="single"/>
              </w:rPr>
            </w:pPr>
            <w:r>
              <w:rPr>
                <w:sz w:val="21"/>
                <w:u w:val="single"/>
              </w:rPr>
              <w:t xml:space="preserve">    </w:t>
            </w:r>
            <w:r>
              <w:rPr>
                <w:sz w:val="21"/>
                <w:u w:val="single"/>
              </w:rPr>
              <w:t>_______________________________________</w:t>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rPr>
                      <w:sz w:val="21"/>
                    </w:rPr>
                  </w:pPr>
                  <w:r>
                    <w:rPr>
                      <w:sz w:val="21"/>
                    </w:rPr>
                    <w:t>Юридический адрес: _______________________</w:t>
                  </w:r>
                </w:p>
                <w:p>
                  <w:pPr>
                    <w:pStyle w:val="Normal"/>
                    <w:ind w:right="-285"/>
                    <w:jc w:val="both"/>
                    <w:rPr>
                      <w:sz w:val="21"/>
                    </w:rPr>
                  </w:pPr>
                  <w:r>
                    <w:rPr>
                      <w:sz w:val="21"/>
                    </w:rPr>
                    <w:t>ИНН ____________, КПП ___________________</w:t>
                  </w:r>
                </w:p>
                <w:p>
                  <w:pPr>
                    <w:pStyle w:val="Normal"/>
                    <w:ind w:right="-285"/>
                    <w:jc w:val="both"/>
                    <w:rPr>
                      <w:sz w:val="21"/>
                    </w:rPr>
                  </w:pPr>
                  <w:r>
                    <w:rPr>
                      <w:sz w:val="21"/>
                    </w:rPr>
                    <w:t>ОГРН ____________________________________</w:t>
                  </w:r>
                </w:p>
                <w:p>
                  <w:pPr>
                    <w:pStyle w:val="Normal"/>
                    <w:ind w:right="-285"/>
                    <w:jc w:val="both"/>
                    <w:rPr>
                      <w:sz w:val="21"/>
                    </w:rPr>
                  </w:pPr>
                  <w:r>
                    <w:rPr>
                      <w:sz w:val="21"/>
                    </w:rPr>
                    <w:t>Банковские реквизиты 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тел.: _____________________________________</w:t>
                  </w:r>
                </w:p>
                <w:p>
                  <w:pPr>
                    <w:pStyle w:val="Normal"/>
                    <w:ind w:right="-285"/>
                    <w:jc w:val="both"/>
                    <w:rPr>
                      <w:sz w:val="21"/>
                    </w:rPr>
                  </w:pPr>
                  <w:r>
                    <w:rPr>
                      <w:sz w:val="21"/>
                    </w:rPr>
                    <w:t xml:space="preserve">е–mail: </w:t>
                    <w:tab/>
                    <w:t>___________________________________</w:t>
                  </w:r>
                </w:p>
                <w:p>
                  <w:pPr>
                    <w:pStyle w:val="Normal"/>
                    <w:ind w:right="-285"/>
                    <w:jc w:val="both"/>
                    <w:rPr>
                      <w:sz w:val="21"/>
                    </w:rPr>
                  </w:pPr>
                  <w:r>
                    <w:rPr>
                      <w:sz w:val="21"/>
                    </w:rPr>
                  </w:r>
                </w:p>
                <w:p>
                  <w:pPr>
                    <w:pStyle w:val="Normal"/>
                    <w:ind w:right="-285"/>
                    <w:jc w:val="both"/>
                    <w:rPr>
                      <w:sz w:val="21"/>
                    </w:rPr>
                  </w:pPr>
                  <w:r>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rPr>
                      <w:sz w:val="21"/>
                    </w:rPr>
                  </w:pPr>
                  <w:r>
                    <w:rPr>
                      <w:sz w:val="21"/>
                    </w:rPr>
                    <w:t>__________________________</w:t>
                  </w:r>
                </w:p>
                <w:p>
                  <w:pPr>
                    <w:pStyle w:val="Normal"/>
                    <w:ind w:right="-285"/>
                    <w:rPr>
                      <w:sz w:val="21"/>
                    </w:rPr>
                  </w:pPr>
                  <w:r>
                    <w:rPr>
                      <w:sz w:val="21"/>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7"/>
                    <w:rPr>
                      <w:sz w:val="21"/>
                    </w:rPr>
                  </w:pPr>
                  <w:r>
                    <w:rPr>
                      <w:sz w:val="21"/>
                      <w:u w:val="single"/>
                    </w:rPr>
                    <w:tab/>
                    <w:t>/______________/</w:t>
                  </w:r>
                </w:p>
              </w:tc>
            </w:tr>
          </w:tbl>
          <w:p>
            <w:pPr>
              <w:pStyle w:val="Normal"/>
              <w:ind w:firstLine="567"/>
              <w:jc w:val="both"/>
              <w:rPr>
                <w:sz w:val="21"/>
              </w:rPr>
            </w:pPr>
            <w:r>
              <w:rPr>
                <w:sz w:val="21"/>
              </w:rPr>
            </w:r>
          </w:p>
          <w:p>
            <w:pPr>
              <w:pStyle w:val="Normal"/>
              <w:tabs>
                <w:tab w:val="clear" w:pos="709"/>
                <w:tab w:val="left" w:pos="2865" w:leader="none"/>
                <w:tab w:val="left" w:pos="4115" w:leader="none"/>
              </w:tabs>
              <w:ind w:left="-7"/>
              <w:rPr>
                <w:sz w:val="21"/>
              </w:rPr>
            </w:pPr>
            <w:r>
              <w:rPr>
                <w:sz w:val="21"/>
              </w:rPr>
            </w:r>
          </w:p>
        </w:tc>
      </w:tr>
    </w:tbl>
    <w:p>
      <w:pPr>
        <w:pStyle w:val="Normal"/>
        <w:rPr>
          <w:sz w:val="22"/>
        </w:rPr>
      </w:pPr>
      <w:r>
        <w:rPr>
          <w:sz w:val="22"/>
        </w:rPr>
      </w:r>
      <w:r>
        <w:br w:type="page"/>
      </w:r>
    </w:p>
    <w:p>
      <w:pPr>
        <w:pStyle w:val="ConsPlusNormal1"/>
        <w:widowControl/>
        <w:numPr>
          <w:ilvl w:val="0"/>
          <w:numId w:val="0"/>
        </w:numPr>
        <w:spacing w:before="0" w:after="0"/>
        <w:ind w:hanging="0" w:left="0"/>
        <w:jc w:val="right"/>
        <w:outlineLvl w:val="1"/>
        <w:rPr>
          <w:sz w:val="22"/>
        </w:rPr>
      </w:pPr>
      <w:r>
        <w:rPr>
          <w:sz w:val="22"/>
        </w:rPr>
        <w:t>Приложение</w:t>
      </w:r>
    </w:p>
    <w:p>
      <w:pPr>
        <w:pStyle w:val="ConsPlusNormal1"/>
        <w:widowControl/>
        <w:jc w:val="right"/>
        <w:rPr>
          <w:sz w:val="22"/>
        </w:rPr>
      </w:pPr>
      <w:r>
        <w:rPr>
          <w:sz w:val="22"/>
        </w:rPr>
        <w:t>к типовому договору на оказание</w:t>
      </w:r>
    </w:p>
    <w:p>
      <w:pPr>
        <w:pStyle w:val="ConsPlusNormal1"/>
        <w:widowControl/>
        <w:jc w:val="right"/>
        <w:rPr>
          <w:sz w:val="22"/>
        </w:rPr>
      </w:pPr>
      <w:r>
        <w:rPr>
          <w:sz w:val="22"/>
        </w:rPr>
        <w:t>услуг по обращению с твердыми</w:t>
      </w:r>
    </w:p>
    <w:p>
      <w:pPr>
        <w:pStyle w:val="ConsPlusNormal1"/>
        <w:widowControl/>
        <w:jc w:val="right"/>
        <w:rPr>
          <w:sz w:val="22"/>
        </w:rPr>
      </w:pPr>
      <w:r>
        <w:rPr>
          <w:sz w:val="22"/>
        </w:rPr>
        <w:t>коммунальными отходами</w:t>
      </w:r>
    </w:p>
    <w:p>
      <w:pPr>
        <w:pStyle w:val="ConsPlusNormal1"/>
        <w:widowControl/>
        <w:jc w:val="both"/>
        <w:rPr/>
      </w:pPr>
      <w:r>
        <w:rPr/>
      </w:r>
    </w:p>
    <w:p>
      <w:pPr>
        <w:pStyle w:val="ConsPlusNormal1"/>
        <w:widowControl/>
        <w:jc w:val="center"/>
        <w:rPr/>
      </w:pPr>
      <w:bookmarkStart w:id="0" w:name="P182"/>
      <w:bookmarkEnd w:id="0"/>
      <w:r>
        <w:rPr/>
        <w:t>ИНФОРМАЦИЯ</w:t>
      </w:r>
    </w:p>
    <w:p>
      <w:pPr>
        <w:pStyle w:val="ConsPlusNormal1"/>
        <w:widowControl/>
        <w:jc w:val="center"/>
        <w:rPr/>
      </w:pPr>
      <w:r>
        <w:rPr/>
        <w:t>по предмету договора на оказание услуг по обращению</w:t>
      </w:r>
    </w:p>
    <w:p>
      <w:pPr>
        <w:pStyle w:val="ConsPlusNormal1"/>
        <w:widowControl/>
        <w:jc w:val="center"/>
        <w:rPr/>
      </w:pPr>
      <w:r>
        <w:rPr/>
        <w:t>с твердыми коммунальными отходами</w:t>
      </w:r>
    </w:p>
    <w:p>
      <w:pPr>
        <w:pStyle w:val="ConsPlusNormal1"/>
        <w:widowControl/>
        <w:jc w:val="both"/>
        <w:rPr/>
      </w:pPr>
      <w:r>
        <w:rPr/>
      </w:r>
    </w:p>
    <w:tbl>
      <w:tblPr>
        <w:tblW w:w="10208" w:type="dxa"/>
        <w:jc w:val="left"/>
        <w:tblInd w:w="-794" w:type="dxa"/>
        <w:tblLayout w:type="fixed"/>
        <w:tblCellMar>
          <w:top w:w="102" w:type="dxa"/>
          <w:left w:w="62" w:type="dxa"/>
          <w:bottom w:w="102" w:type="dxa"/>
          <w:right w:w="62" w:type="dxa"/>
        </w:tblCellMar>
        <w:tblLook w:val="04a0" w:noHBand="0" w:noVBand="1" w:firstColumn="1" w:lastRow="0" w:lastColumn="0" w:firstRow="1"/>
      </w:tblPr>
      <w:tblGrid>
        <w:gridCol w:w="1204"/>
        <w:gridCol w:w="1198"/>
        <w:gridCol w:w="1205"/>
        <w:gridCol w:w="1138"/>
        <w:gridCol w:w="1289"/>
        <w:gridCol w:w="1396"/>
        <w:gridCol w:w="1230"/>
        <w:gridCol w:w="1546"/>
      </w:tblGrid>
      <w:tr>
        <w:trPr>
          <w:trHeight w:val="5433" w:hRule="atLeast"/>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Наименование источника образования твердых коммунальных отходов</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Местонахождение источника образования твердых коммунальных отходов</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Период действия объекта</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Количество принимаемых твердых коммунальных отходов (куб. метров или тонн)</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твердых коммунальных отходов</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крупногабаритных отходов (при наличии)</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График вывоза твердых коммунальных отходов</w:t>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1</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2</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3</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4</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5</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6</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7</w:t>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8</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6"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bl>
    <w:p>
      <w:pPr>
        <w:pStyle w:val="ConsPlusNormal1"/>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Courier New">
    <w:charset w:val="01"/>
    <w:family w:val="auto"/>
    <w:pitch w:val="default"/>
  </w:font>
  <w:font w:name="XO Thames">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ing1">
    <w:name w:val="heading 1"/>
    <w:basedOn w:val="Normal"/>
    <w:next w:val="Normal"/>
    <w:link w:val="11"/>
    <w:uiPriority w:val="9"/>
    <w:qFormat/>
    <w:pPr>
      <w:keepNext w:val="true"/>
      <w:keepLines/>
      <w:spacing w:before="480" w:after="200"/>
      <w:outlineLvl w:val="0"/>
    </w:pPr>
    <w:rPr>
      <w:rFonts w:ascii="Arial" w:hAnsi="Arial"/>
      <w:sz w:val="40"/>
    </w:rPr>
  </w:style>
  <w:style w:type="paragraph" w:styleId="Heading2">
    <w:name w:val="heading 2"/>
    <w:basedOn w:val="Normal"/>
    <w:next w:val="Normal"/>
    <w:link w:val="22"/>
    <w:uiPriority w:val="9"/>
    <w:qFormat/>
    <w:pPr>
      <w:keepNext w:val="true"/>
      <w:keepLines/>
      <w:spacing w:before="360" w:after="200"/>
      <w:outlineLvl w:val="1"/>
    </w:pPr>
    <w:rPr>
      <w:rFonts w:ascii="Arial" w:hAnsi="Arial"/>
      <w:sz w:val="34"/>
    </w:rPr>
  </w:style>
  <w:style w:type="paragraph" w:styleId="Heading3">
    <w:name w:val="heading 3"/>
    <w:basedOn w:val="Normal"/>
    <w:next w:val="Normal"/>
    <w:link w:val="3"/>
    <w:uiPriority w:val="9"/>
    <w:qFormat/>
    <w:pPr>
      <w:keepNext w:val="true"/>
      <w:keepLines/>
      <w:spacing w:before="320" w:after="200"/>
      <w:outlineLvl w:val="2"/>
    </w:pPr>
    <w:rPr>
      <w:rFonts w:ascii="Arial" w:hAnsi="Arial"/>
      <w:sz w:val="30"/>
    </w:rPr>
  </w:style>
  <w:style w:type="paragraph" w:styleId="Heading4">
    <w:name w:val="heading 4"/>
    <w:basedOn w:val="Normal"/>
    <w:next w:val="Normal"/>
    <w:link w:val="41"/>
    <w:uiPriority w:val="9"/>
    <w:qFormat/>
    <w:pPr>
      <w:keepNext w:val="true"/>
      <w:keepLines/>
      <w:spacing w:before="320" w:after="200"/>
      <w:outlineLvl w:val="3"/>
    </w:pPr>
    <w:rPr>
      <w:rFonts w:ascii="Arial" w:hAnsi="Arial"/>
      <w:b/>
      <w:sz w:val="26"/>
    </w:rPr>
  </w:style>
  <w:style w:type="paragraph" w:styleId="Heading5">
    <w:name w:val="heading 5"/>
    <w:basedOn w:val="Normal"/>
    <w:next w:val="Normal"/>
    <w:link w:val="5"/>
    <w:uiPriority w:val="9"/>
    <w:qFormat/>
    <w:pPr>
      <w:keepNext w:val="true"/>
      <w:keepLines/>
      <w:spacing w:before="320" w:after="200"/>
      <w:outlineLvl w:val="4"/>
    </w:pPr>
    <w:rPr>
      <w:rFonts w:ascii="Arial" w:hAnsi="Arial"/>
      <w:b/>
      <w:sz w:val="24"/>
    </w:rPr>
  </w:style>
  <w:style w:type="paragraph" w:styleId="Heading6">
    <w:name w:val="heading 6"/>
    <w:basedOn w:val="Normal"/>
    <w:next w:val="Normal"/>
    <w:link w:val="61"/>
    <w:uiPriority w:val="9"/>
    <w:qFormat/>
    <w:pPr>
      <w:keepNext w:val="true"/>
      <w:keepLines/>
      <w:spacing w:before="320" w:after="200"/>
      <w:outlineLvl w:val="5"/>
    </w:pPr>
    <w:rPr>
      <w:rFonts w:ascii="Arial" w:hAnsi="Arial"/>
      <w:b/>
      <w:sz w:val="22"/>
    </w:rPr>
  </w:style>
  <w:style w:type="paragraph" w:styleId="Heading7">
    <w:name w:val="heading 7"/>
    <w:basedOn w:val="Normal"/>
    <w:next w:val="Normal"/>
    <w:link w:val="7"/>
    <w:uiPriority w:val="9"/>
    <w:qFormat/>
    <w:pPr>
      <w:keepNext w:val="true"/>
      <w:keepLines/>
      <w:spacing w:before="320" w:after="200"/>
      <w:outlineLvl w:val="6"/>
    </w:pPr>
    <w:rPr>
      <w:rFonts w:ascii="Arial" w:hAnsi="Arial"/>
      <w:b/>
      <w:i/>
      <w:sz w:val="22"/>
    </w:rPr>
  </w:style>
  <w:style w:type="paragraph" w:styleId="Heading8">
    <w:name w:val="heading 8"/>
    <w:basedOn w:val="Normal"/>
    <w:next w:val="Normal"/>
    <w:link w:val="8"/>
    <w:uiPriority w:val="9"/>
    <w:qFormat/>
    <w:pPr>
      <w:keepNext w:val="true"/>
      <w:keepLines/>
      <w:spacing w:before="320" w:after="200"/>
      <w:outlineLvl w:val="7"/>
    </w:pPr>
    <w:rPr>
      <w:rFonts w:ascii="Arial" w:hAnsi="Arial"/>
      <w:i/>
      <w:sz w:val="22"/>
    </w:rPr>
  </w:style>
  <w:style w:type="paragraph" w:styleId="Heading9">
    <w:name w:val="heading 9"/>
    <w:basedOn w:val="Normal"/>
    <w:next w:val="Normal"/>
    <w:link w:val="9"/>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basedOn w:val="1"/>
    <w:qFormat/>
    <w:rPr/>
  </w:style>
  <w:style w:type="character" w:styleId="Style5" w:customStyle="1">
    <w:name w:val="Выделенная цитата Знак"/>
    <w:basedOn w:val="1"/>
    <w:link w:val="IntenseQuote"/>
    <w:qFormat/>
    <w:rPr>
      <w:i/>
    </w:rPr>
  </w:style>
  <w:style w:type="character" w:styleId="Style6" w:customStyle="1">
    <w:name w:val="Название объекта Знак"/>
    <w:basedOn w:val="1"/>
    <w:qFormat/>
    <w:rPr>
      <w:b/>
      <w:color w:themeColor="accent1" w:val="4F81BD"/>
      <w:sz w:val="18"/>
    </w:rPr>
  </w:style>
  <w:style w:type="character" w:styleId="4" w:customStyle="1">
    <w:name w:val="Оглавление 4 Знак"/>
    <w:basedOn w:val="1"/>
    <w:qFormat/>
    <w:rPr/>
  </w:style>
  <w:style w:type="character" w:styleId="7" w:customStyle="1">
    <w:name w:val="Заголовок 7 Знак"/>
    <w:basedOn w:val="1"/>
    <w:qFormat/>
    <w:rPr>
      <w:rFonts w:ascii="Arial" w:hAnsi="Arial"/>
      <w:b/>
      <w:i/>
      <w:sz w:val="22"/>
    </w:rPr>
  </w:style>
  <w:style w:type="character" w:styleId="6" w:customStyle="1">
    <w:name w:val="Оглавление 6 Знак"/>
    <w:basedOn w:val="1"/>
    <w:qFormat/>
    <w:rPr/>
  </w:style>
  <w:style w:type="character" w:styleId="71" w:customStyle="1">
    <w:name w:val="Оглавление 7 Знак"/>
    <w:basedOn w:val="1"/>
    <w:qFormat/>
    <w:rPr/>
  </w:style>
  <w:style w:type="character" w:styleId="21" w:customStyle="1">
    <w:name w:val="Цитата 2 Знак"/>
    <w:basedOn w:val="1"/>
    <w:link w:val="Quote"/>
    <w:qFormat/>
    <w:rPr>
      <w:i/>
    </w:rPr>
  </w:style>
  <w:style w:type="character" w:styleId="Endnote" w:customStyle="1">
    <w:name w:val="Endnote"/>
    <w:basedOn w:val="1"/>
    <w:link w:val="Endnote1"/>
    <w:qFormat/>
    <w:rPr/>
  </w:style>
  <w:style w:type="character" w:styleId="3" w:customStyle="1">
    <w:name w:val="Заголовок 3 Знак"/>
    <w:basedOn w:val="1"/>
    <w:qFormat/>
    <w:rPr>
      <w:rFonts w:ascii="Arial" w:hAnsi="Arial"/>
      <w:sz w:val="30"/>
    </w:rPr>
  </w:style>
  <w:style w:type="character" w:styleId="ConsPlusJurTerm" w:customStyle="1">
    <w:name w:val="ConsPlusJurTerm"/>
    <w:link w:val="ConsPlusJurTerm1"/>
    <w:qFormat/>
    <w:rPr>
      <w:rFonts w:ascii="Tahoma" w:hAnsi="Tahoma"/>
      <w:sz w:val="26"/>
    </w:rPr>
  </w:style>
  <w:style w:type="character" w:styleId="Style7" w:customStyle="1">
    <w:name w:val="Заголовок оглавления Знак"/>
    <w:qFormat/>
    <w:rPr/>
  </w:style>
  <w:style w:type="character" w:styleId="9" w:customStyle="1">
    <w:name w:val="Заголовок 9 Знак"/>
    <w:basedOn w:val="1"/>
    <w:qFormat/>
    <w:rPr>
      <w:rFonts w:ascii="Arial" w:hAnsi="Arial"/>
      <w:i/>
      <w:sz w:val="21"/>
    </w:rPr>
  </w:style>
  <w:style w:type="character" w:styleId="ConsPlusTextList" w:customStyle="1">
    <w:name w:val="ConsPlusTextList"/>
    <w:link w:val="ConsPlusTextList1"/>
    <w:qFormat/>
    <w:rPr>
      <w:sz w:val="24"/>
    </w:rPr>
  </w:style>
  <w:style w:type="character" w:styleId="31" w:customStyle="1">
    <w:name w:val="Оглавление 3 Знак"/>
    <w:basedOn w:val="1"/>
    <w:qFormat/>
    <w:rPr/>
  </w:style>
  <w:style w:type="character" w:styleId="Style8" w:customStyle="1">
    <w:name w:val="Нижний колонтитул Знак"/>
    <w:basedOn w:val="1"/>
    <w:qFormat/>
    <w:rPr/>
  </w:style>
  <w:style w:type="character" w:styleId="ConsPlusDocList" w:customStyle="1">
    <w:name w:val="ConsPlusDocList"/>
    <w:link w:val="ConsPlusDocList1"/>
    <w:qFormat/>
    <w:rPr>
      <w:rFonts w:ascii="Tahoma" w:hAnsi="Tahoma"/>
      <w:sz w:val="18"/>
    </w:rPr>
  </w:style>
  <w:style w:type="character" w:styleId="Style9">
    <w:name w:val="Символ сноски"/>
    <w:link w:val="13"/>
    <w:qFormat/>
    <w:rPr>
      <w:vertAlign w:val="superscript"/>
    </w:rPr>
  </w:style>
  <w:style w:type="character" w:styleId="FootnoteReference">
    <w:name w:val="footnote reference"/>
    <w:rPr>
      <w:vertAlign w:val="superscript"/>
    </w:rPr>
  </w:style>
  <w:style w:type="character" w:styleId="ConsPlusNonformat" w:customStyle="1">
    <w:name w:val="ConsPlusNonformat"/>
    <w:link w:val="ConsPlusNonformat1"/>
    <w:qFormat/>
    <w:rPr>
      <w:rFonts w:ascii="Courier New" w:hAnsi="Courier New"/>
    </w:rPr>
  </w:style>
  <w:style w:type="character" w:styleId="5" w:customStyle="1">
    <w:name w:val="Заголовок 5 Знак"/>
    <w:basedOn w:val="1"/>
    <w:qFormat/>
    <w:rPr>
      <w:rFonts w:ascii="Arial" w:hAnsi="Arial"/>
      <w:b/>
      <w:sz w:val="24"/>
    </w:rPr>
  </w:style>
  <w:style w:type="character" w:styleId="Style10" w:customStyle="1">
    <w:name w:val="Верхний колонтитул Знак"/>
    <w:basedOn w:val="1"/>
    <w:qFormat/>
    <w:rPr/>
  </w:style>
  <w:style w:type="character" w:styleId="11" w:customStyle="1">
    <w:name w:val="Заголовок 1 Знак"/>
    <w:basedOn w:val="1"/>
    <w:qFormat/>
    <w:rPr>
      <w:rFonts w:ascii="Arial" w:hAnsi="Arial"/>
      <w:sz w:val="40"/>
    </w:rPr>
  </w:style>
  <w:style w:type="character" w:styleId="ConsPlusNormal" w:customStyle="1">
    <w:name w:val="ConsPlusNormal"/>
    <w:link w:val="ConsPlusNormal1"/>
    <w:qFormat/>
    <w:rPr>
      <w:sz w:val="24"/>
    </w:rPr>
  </w:style>
  <w:style w:type="character" w:styleId="Style11" w:customStyle="1">
    <w:name w:val="Перечень рисунков Знак"/>
    <w:basedOn w:val="1"/>
    <w:qFormat/>
    <w:rPr/>
  </w:style>
  <w:style w:type="character" w:styleId="Hyperlink">
    <w:name w:val="Hyperlink"/>
    <w:link w:val="14"/>
    <w:rPr>
      <w:color w:themeColor="hyperlink" w:val="0000FF"/>
      <w:u w:val="single"/>
    </w:rPr>
  </w:style>
  <w:style w:type="character" w:styleId="Footnote" w:customStyle="1">
    <w:name w:val="Footnote"/>
    <w:basedOn w:val="1"/>
    <w:link w:val="Footnote1"/>
    <w:qFormat/>
    <w:rPr>
      <w:sz w:val="18"/>
    </w:rPr>
  </w:style>
  <w:style w:type="character" w:styleId="8" w:customStyle="1">
    <w:name w:val="Заголовок 8 Знак"/>
    <w:basedOn w:val="1"/>
    <w:qFormat/>
    <w:rPr>
      <w:rFonts w:ascii="Arial" w:hAnsi="Arial"/>
      <w:i/>
      <w:sz w:val="22"/>
    </w:rPr>
  </w:style>
  <w:style w:type="character" w:styleId="12" w:customStyle="1">
    <w:name w:val="Оглавление 1 Знак"/>
    <w:basedOn w:val="1"/>
    <w:qFormat/>
    <w:rPr/>
  </w:style>
  <w:style w:type="character" w:styleId="ConsPlusTitlePage" w:customStyle="1">
    <w:name w:val="ConsPlusTitlePage"/>
    <w:link w:val="ConsPlusTitlePage1"/>
    <w:qFormat/>
    <w:rPr>
      <w:rFonts w:ascii="Tahoma" w:hAnsi="Tahoma"/>
    </w:rPr>
  </w:style>
  <w:style w:type="character" w:styleId="HeaderandFooter" w:customStyle="1">
    <w:name w:val="Header and Footer"/>
    <w:link w:val="HeaderandFooter1"/>
    <w:qFormat/>
    <w:rPr>
      <w:rFonts w:ascii="XO Thames" w:hAnsi="XO Thames"/>
      <w:sz w:val="28"/>
    </w:rPr>
  </w:style>
  <w:style w:type="character" w:styleId="91" w:customStyle="1">
    <w:name w:val="Оглавление 9 Знак"/>
    <w:basedOn w:val="1"/>
    <w:qFormat/>
    <w:rPr/>
  </w:style>
  <w:style w:type="character" w:styleId="81" w:customStyle="1">
    <w:name w:val="Оглавление 8 Знак"/>
    <w:basedOn w:val="1"/>
    <w:qFormat/>
    <w:rPr/>
  </w:style>
  <w:style w:type="character" w:styleId="ConsPlusTitle" w:customStyle="1">
    <w:name w:val="ConsPlusTitle"/>
    <w:link w:val="ConsPlusTitle1"/>
    <w:qFormat/>
    <w:rPr>
      <w:rFonts w:ascii="Arial" w:hAnsi="Arial"/>
      <w:b/>
      <w:sz w:val="24"/>
    </w:rPr>
  </w:style>
  <w:style w:type="character" w:styleId="ConsPlusCell" w:customStyle="1">
    <w:name w:val="ConsPlusCell"/>
    <w:link w:val="ConsPlusCell1"/>
    <w:qFormat/>
    <w:rPr>
      <w:rFonts w:ascii="Courier New" w:hAnsi="Courier New"/>
    </w:rPr>
  </w:style>
  <w:style w:type="character" w:styleId="51" w:customStyle="1">
    <w:name w:val="Оглавление 5 Знак"/>
    <w:basedOn w:val="1"/>
    <w:qFormat/>
    <w:rPr/>
  </w:style>
  <w:style w:type="character" w:styleId="Style12" w:customStyle="1">
    <w:name w:val="Без интервала Знак"/>
    <w:link w:val="NoSpacing"/>
    <w:qFormat/>
    <w:rPr/>
  </w:style>
  <w:style w:type="character" w:styleId="Style13" w:customStyle="1">
    <w:name w:val="Подзаголовок Знак"/>
    <w:basedOn w:val="1"/>
    <w:qFormat/>
    <w:rPr>
      <w:sz w:val="24"/>
    </w:rPr>
  </w:style>
  <w:style w:type="character" w:styleId="Style14" w:customStyle="1">
    <w:name w:val="Абзац списка Знак"/>
    <w:basedOn w:val="1"/>
    <w:link w:val="ListParagraph"/>
    <w:qFormat/>
    <w:rPr/>
  </w:style>
  <w:style w:type="character" w:styleId="Style15" w:customStyle="1">
    <w:name w:val="Заголовок Знак"/>
    <w:basedOn w:val="1"/>
    <w:qFormat/>
    <w:rPr>
      <w:sz w:val="48"/>
    </w:rPr>
  </w:style>
  <w:style w:type="character" w:styleId="41" w:customStyle="1">
    <w:name w:val="Заголовок 4 Знак"/>
    <w:basedOn w:val="1"/>
    <w:qFormat/>
    <w:rPr>
      <w:rFonts w:ascii="Arial" w:hAnsi="Arial"/>
      <w:b/>
      <w:sz w:val="26"/>
    </w:rPr>
  </w:style>
  <w:style w:type="character" w:styleId="22" w:customStyle="1">
    <w:name w:val="Заголовок 2 Знак"/>
    <w:basedOn w:val="1"/>
    <w:qFormat/>
    <w:rPr>
      <w:rFonts w:ascii="Arial" w:hAnsi="Arial"/>
      <w:sz w:val="34"/>
    </w:rPr>
  </w:style>
  <w:style w:type="character" w:styleId="Style16">
    <w:name w:val="Символ концевой сноски"/>
    <w:link w:val="15"/>
    <w:qFormat/>
    <w:rPr>
      <w:vertAlign w:val="superscript"/>
    </w:rPr>
  </w:style>
  <w:style w:type="character" w:styleId="EndnoteReference">
    <w:name w:val="endnote reference"/>
    <w:rPr>
      <w:vertAlign w:val="superscript"/>
    </w:rPr>
  </w:style>
  <w:style w:type="character" w:styleId="61" w:customStyle="1">
    <w:name w:val="Заголовок 6 Знак"/>
    <w:basedOn w:val="1"/>
    <w:qFormat/>
    <w:rPr>
      <w:rFonts w:ascii="Arial" w:hAnsi="Arial"/>
      <w:b/>
      <w:sz w:val="22"/>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link w:val="Style6"/>
    <w:qFormat/>
    <w:pPr>
      <w:spacing w:lineRule="auto" w:line="276"/>
    </w:pPr>
    <w:rPr>
      <w:b/>
      <w:color w:themeColor="accent1" w:val="4F81BD"/>
      <w:sz w:val="18"/>
    </w:rPr>
  </w:style>
  <w:style w:type="paragraph" w:styleId="Style18">
    <w:name w:val="Указатель"/>
    <w:basedOn w:val="Normal"/>
    <w:qFormat/>
    <w:pPr>
      <w:suppressLineNumbers/>
    </w:pPr>
    <w:rPr>
      <w:rFonts w:ascii="PT Astra Serif" w:hAnsi="PT Astra Serif" w:cs="Noto Sans Devanagari"/>
    </w:rPr>
  </w:style>
  <w:style w:type="paragraph" w:styleId="TOC2">
    <w:name w:val="toc 2"/>
    <w:basedOn w:val="Normal"/>
    <w:next w:val="Normal"/>
    <w:link w:val="2"/>
    <w:uiPriority w:val="39"/>
    <w:pPr>
      <w:spacing w:before="0" w:after="57"/>
      <w:ind w:left="283"/>
    </w:pPr>
    <w:rPr/>
  </w:style>
  <w:style w:type="paragraph" w:styleId="IntenseQuote">
    <w:name w:val="Intense Quote"/>
    <w:basedOn w:val="Normal"/>
    <w:next w:val="Normal"/>
    <w:link w:val="Style5"/>
    <w:qFormat/>
    <w:pPr>
      <w:pBdr>
        <w:top w:val="single" w:sz="4" w:space="5" w:color="FFFFFF"/>
        <w:left w:val="single" w:sz="4" w:space="10" w:color="FFFFFF"/>
        <w:bottom w:val="single" w:sz="4" w:space="5" w:color="FFFFFF"/>
        <w:right w:val="single" w:sz="4" w:space="10" w:color="FFFFFF"/>
      </w:pBdr>
      <w:ind w:left="720" w:right="720"/>
    </w:pPr>
    <w:rPr>
      <w:i/>
    </w:rPr>
  </w:style>
  <w:style w:type="paragraph" w:styleId="TOC4">
    <w:name w:val="toc 4"/>
    <w:basedOn w:val="Normal"/>
    <w:next w:val="Normal"/>
    <w:link w:val="4"/>
    <w:uiPriority w:val="39"/>
    <w:pPr>
      <w:spacing w:before="0" w:after="57"/>
      <w:ind w:left="850"/>
    </w:pPr>
    <w:rPr/>
  </w:style>
  <w:style w:type="paragraph" w:styleId="TOC6">
    <w:name w:val="toc 6"/>
    <w:basedOn w:val="Normal"/>
    <w:next w:val="Normal"/>
    <w:link w:val="6"/>
    <w:uiPriority w:val="39"/>
    <w:pPr>
      <w:spacing w:before="0" w:after="57"/>
      <w:ind w:left="1417"/>
    </w:pPr>
    <w:rPr/>
  </w:style>
  <w:style w:type="paragraph" w:styleId="TOC7">
    <w:name w:val="toc 7"/>
    <w:basedOn w:val="Normal"/>
    <w:next w:val="Normal"/>
    <w:link w:val="71"/>
    <w:uiPriority w:val="39"/>
    <w:pPr>
      <w:spacing w:before="0" w:after="57"/>
      <w:ind w:left="1701"/>
    </w:pPr>
    <w:rPr/>
  </w:style>
  <w:style w:type="paragraph" w:styleId="Quote">
    <w:name w:val="Quote"/>
    <w:basedOn w:val="Normal"/>
    <w:next w:val="Normal"/>
    <w:link w:val="21"/>
    <w:qFormat/>
    <w:pPr>
      <w:ind w:left="720" w:right="720"/>
    </w:pPr>
    <w:rPr>
      <w:i/>
    </w:rPr>
  </w:style>
  <w:style w:type="paragraph" w:styleId="Endnote1" w:customStyle="1">
    <w:name w:val="Endnote1"/>
    <w:basedOn w:val="Normal"/>
    <w:link w:val="Endnote"/>
    <w:qFormat/>
    <w:pPr/>
    <w:rPr/>
  </w:style>
  <w:style w:type="paragraph" w:styleId="ConsPlusJurTerm1" w:customStyle="1">
    <w:name w:val="ConsPlusJurTerm1"/>
    <w:link w:val="ConsPlusJurTerm"/>
    <w:qFormat/>
    <w:pPr>
      <w:widowControl w:val="false"/>
      <w:suppressAutoHyphens w:val="true"/>
      <w:bidi w:val="0"/>
      <w:spacing w:before="0" w:after="0"/>
      <w:jc w:val="left"/>
    </w:pPr>
    <w:rPr>
      <w:rFonts w:ascii="Tahoma" w:hAnsi="Tahoma" w:eastAsia="Times New Roman" w:cs="Times New Roman"/>
      <w:color w:val="000000"/>
      <w:kern w:val="0"/>
      <w:sz w:val="26"/>
      <w:szCs w:val="20"/>
      <w:lang w:val="ru-RU" w:eastAsia="ru-RU" w:bidi="ar-SA"/>
    </w:rPr>
  </w:style>
  <w:style w:type="paragraph" w:styleId="IndexHeading">
    <w:name w:val="index heading"/>
    <w:basedOn w:val="Style17"/>
    <w:pPr/>
    <w:rPr/>
  </w:style>
  <w:style w:type="paragraph" w:styleId="TOCHeading">
    <w:name w:val="TOC Heading"/>
    <w:link w:val="Style7"/>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TextList1" w:customStyle="1">
    <w:name w:val="ConsPlusTextList1"/>
    <w:link w:val="ConsPlusTextList"/>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OC3">
    <w:name w:val="toc 3"/>
    <w:basedOn w:val="Normal"/>
    <w:next w:val="Normal"/>
    <w:link w:val="31"/>
    <w:uiPriority w:val="39"/>
    <w:pPr>
      <w:spacing w:before="0" w:after="57"/>
      <w:ind w:left="567"/>
    </w:pPr>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Footer">
    <w:name w:val="footer"/>
    <w:basedOn w:val="Normal"/>
    <w:link w:val="Style8"/>
    <w:pPr>
      <w:tabs>
        <w:tab w:val="clear" w:pos="709"/>
        <w:tab w:val="center" w:pos="7143" w:leader="none"/>
        <w:tab w:val="right" w:pos="14287" w:leader="none"/>
      </w:tabs>
    </w:pPr>
    <w:rPr/>
  </w:style>
  <w:style w:type="paragraph" w:styleId="ConsPlusDocList1" w:customStyle="1">
    <w:name w:val="ConsPlusDocList1"/>
    <w:link w:val="ConsPlusDocList"/>
    <w:qFormat/>
    <w:pPr>
      <w:widowControl w:val="false"/>
      <w:suppressAutoHyphens w:val="true"/>
      <w:bidi w:val="0"/>
      <w:spacing w:before="0" w:after="0"/>
      <w:jc w:val="left"/>
    </w:pPr>
    <w:rPr>
      <w:rFonts w:ascii="Tahoma" w:hAnsi="Tahoma" w:eastAsia="Times New Roman" w:cs="Times New Roman"/>
      <w:color w:val="000000"/>
      <w:kern w:val="0"/>
      <w:sz w:val="18"/>
      <w:szCs w:val="20"/>
      <w:lang w:val="ru-RU" w:eastAsia="ru-RU" w:bidi="ar-SA"/>
    </w:rPr>
  </w:style>
  <w:style w:type="paragraph" w:styleId="13" w:customStyle="1">
    <w:name w:val="Знак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Header">
    <w:name w:val="header"/>
    <w:basedOn w:val="Normal"/>
    <w:link w:val="Style10"/>
    <w:pPr>
      <w:tabs>
        <w:tab w:val="clear" w:pos="709"/>
        <w:tab w:val="center" w:pos="7143" w:leader="none"/>
        <w:tab w:val="right" w:pos="14287" w:leader="none"/>
      </w:tabs>
    </w:pPr>
    <w:rPr/>
  </w:style>
  <w:style w:type="paragraph" w:styleId="ConsPlusNormal1" w:customStyle="1">
    <w:name w:val="ConsPlusNormal1"/>
    <w:link w:val="ConsPlusNormal"/>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ableofFigures">
    <w:name w:val="table of figures"/>
    <w:basedOn w:val="Normal"/>
    <w:next w:val="Normal"/>
    <w:link w:val="Style11"/>
    <w:pPr/>
    <w:rPr/>
  </w:style>
  <w:style w:type="paragraph" w:styleId="14" w:customStyle="1">
    <w:name w:val="Гиперссылка1"/>
    <w:qFormat/>
    <w:pPr>
      <w:widowControl/>
      <w:suppressAutoHyphens w:val="true"/>
      <w:bidi w:val="0"/>
      <w:spacing w:before="0" w:after="0"/>
      <w:jc w:val="left"/>
    </w:pPr>
    <w:rPr>
      <w:rFonts w:ascii="Times New Roman" w:hAnsi="Times New Roman" w:eastAsia="Times New Roman" w:cs="Times New Roman"/>
      <w:color w:themeColor="hyperlink" w:val="0000FF"/>
      <w:kern w:val="0"/>
      <w:sz w:val="20"/>
      <w:szCs w:val="20"/>
      <w:u w:val="single"/>
      <w:lang w:val="ru-RU" w:eastAsia="ru-RU" w:bidi="ar-SA"/>
    </w:rPr>
  </w:style>
  <w:style w:type="paragraph" w:styleId="Footnote1" w:customStyle="1">
    <w:name w:val="Footnote1"/>
    <w:basedOn w:val="Normal"/>
    <w:link w:val="Footnote"/>
    <w:qFormat/>
    <w:pPr>
      <w:spacing w:before="0" w:after="40"/>
    </w:pPr>
    <w:rPr>
      <w:sz w:val="18"/>
    </w:rPr>
  </w:style>
  <w:style w:type="paragraph" w:styleId="TOC1">
    <w:name w:val="toc 1"/>
    <w:basedOn w:val="Normal"/>
    <w:next w:val="Normal"/>
    <w:link w:val="12"/>
    <w:uiPriority w:val="39"/>
    <w:pPr>
      <w:spacing w:before="0" w:after="57"/>
    </w:pPr>
    <w:rPr/>
  </w:style>
  <w:style w:type="paragraph" w:styleId="ConsPlusTitlePage1" w:customStyle="1">
    <w:name w:val="ConsPlusTitlePage1"/>
    <w:link w:val="ConsPlusTitlePage"/>
    <w:qFormat/>
    <w:pPr>
      <w:widowControl w:val="false"/>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TOC9">
    <w:name w:val="toc 9"/>
    <w:basedOn w:val="Normal"/>
    <w:next w:val="Normal"/>
    <w:link w:val="91"/>
    <w:uiPriority w:val="39"/>
    <w:pPr>
      <w:spacing w:before="0" w:after="57"/>
      <w:ind w:left="2268"/>
    </w:pPr>
    <w:rPr/>
  </w:style>
  <w:style w:type="paragraph" w:styleId="TOC8">
    <w:name w:val="toc 8"/>
    <w:basedOn w:val="Normal"/>
    <w:next w:val="Normal"/>
    <w:link w:val="81"/>
    <w:uiPriority w:val="39"/>
    <w:pPr>
      <w:spacing w:before="0" w:after="57"/>
      <w:ind w:left="1984"/>
    </w:pPr>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4"/>
      <w:szCs w:val="20"/>
      <w:lang w:val="ru-RU" w:eastAsia="ru-RU" w:bidi="ar-SA"/>
    </w:rPr>
  </w:style>
  <w:style w:type="paragraph" w:styleId="ConsPlusCell1" w:customStyle="1">
    <w:name w:val="ConsPlusCell1"/>
    <w:link w:val="ConsPlusCell"/>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5">
    <w:name w:val="toc 5"/>
    <w:basedOn w:val="Normal"/>
    <w:next w:val="Normal"/>
    <w:link w:val="51"/>
    <w:uiPriority w:val="39"/>
    <w:pPr>
      <w:spacing w:before="0" w:after="57"/>
      <w:ind w:left="1134"/>
    </w:pPr>
    <w:rPr/>
  </w:style>
  <w:style w:type="paragraph" w:styleId="NoSpacing">
    <w:name w:val="No Spacing"/>
    <w:link w:val="Style1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ubtitle">
    <w:name w:val="Subtitle"/>
    <w:basedOn w:val="Normal"/>
    <w:next w:val="Normal"/>
    <w:link w:val="Style13"/>
    <w:uiPriority w:val="11"/>
    <w:qFormat/>
    <w:pPr>
      <w:spacing w:before="200" w:after="200"/>
    </w:pPr>
    <w:rPr>
      <w:sz w:val="24"/>
    </w:rPr>
  </w:style>
  <w:style w:type="paragraph" w:styleId="ListParagraph">
    <w:name w:val="List Paragraph"/>
    <w:basedOn w:val="Normal"/>
    <w:link w:val="Style14"/>
    <w:qFormat/>
    <w:pPr>
      <w:spacing w:before="0" w:after="0"/>
      <w:ind w:left="720"/>
      <w:contextualSpacing/>
    </w:pPr>
    <w:rPr/>
  </w:style>
  <w:style w:type="paragraph" w:styleId="Title">
    <w:name w:val="Title"/>
    <w:basedOn w:val="Normal"/>
    <w:next w:val="Normal"/>
    <w:link w:val="Style15"/>
    <w:uiPriority w:val="10"/>
    <w:qFormat/>
    <w:pPr>
      <w:spacing w:before="300" w:after="200"/>
      <w:contextualSpacing/>
    </w:pPr>
    <w:rPr>
      <w:sz w:val="48"/>
    </w:rPr>
  </w:style>
  <w:style w:type="paragraph" w:styleId="15" w:customStyle="1">
    <w:name w:val="Знак концевой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16" w:customStyle="1">
    <w:name w:val="Основной шрифт абзаца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GridTable6Colorful-Accent1">
    <w:name w:val="Grid Table 6 Colorful - Accent 1"/>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styleId="33">
    <w:name w:val="Plain Table 3"/>
    <w:tblPr>
      <w:tblCellMar>
        <w:top w:w="0" w:type="dxa"/>
        <w:left w:w="0" w:type="dxa"/>
        <w:bottom w:w="0" w:type="dxa"/>
        <w:right w:w="0" w:type="dxa"/>
      </w:tblCellMar>
    </w:tblPr>
  </w:style>
  <w:style w:type="table" w:customStyle="1" w:styleId="GridTable3-Accent5">
    <w:name w:val="Grid Table 3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3-Accent3">
    <w:name w:val="Grid Table 3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GridTable1Light-Accent5">
    <w:name w:val="Grid Table 1 Light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styleId="-5">
    <w:name w:val="List Table 5 Dark"/>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style>
  <w:style w:type="table" w:customStyle="1" w:styleId="GridTable1Light-Accent4">
    <w:name w:val="Grid Table 1 Light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ListTable3-Accent2">
    <w:name w:val="List Table 3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style>
  <w:style w:type="table" w:styleId="-4">
    <w:name w:val="List Table 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style>
  <w:style w:type="table" w:styleId="-6">
    <w:name w:val="List Table 6 Colorful"/>
    <w:tblPr>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style>
  <w:style w:type="table" w:customStyle="1" w:styleId="Bordered-Accent4">
    <w:name w:val="Bordered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Bordered-Accent1">
    <w:name w:val="Bordered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BorderedLined-Accent2">
    <w:name w:val="Bordered &amp; Lined - Accent 2"/>
    <w:tblPr>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style>
  <w:style w:type="table" w:customStyle="1" w:styleId="GridTable5Dark-Accent1">
    <w:name w:val="Grid Table 5 Dark- Accent 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6Colorful-Accent2">
    <w:name w:val="List Table 6 Colorful - Accent 2"/>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style>
  <w:style w:type="table" w:customStyle="1" w:styleId="GridTable4-Accent1">
    <w:name w:val="Grid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style>
  <w:style w:type="table" w:customStyle="1" w:styleId="ListTable7Colorful-Accent2">
    <w:name w:val="List Table 7 Colorful - Accent 2"/>
    <w:tblPr>
      <w:tblBorders>
        <w:right w:val="single" w:color="D99695" w:themeColor="accent2" w:themeTint="97" w:sz="4" w:space="0"/>
      </w:tblBorders>
      <w:tblCellMar>
        <w:top w:w="0" w:type="dxa"/>
        <w:left w:w="0" w:type="dxa"/>
        <w:bottom w:w="0" w:type="dxa"/>
        <w:right w:w="0" w:type="dxa"/>
      </w:tblCellMar>
    </w:tblPr>
  </w:style>
  <w:style w:type="table" w:customStyle="1" w:styleId="ListTable7Colorful-Accent3">
    <w:name w:val="List Table 7 Colorful - Accent 3"/>
    <w:tblPr>
      <w:tblBorders>
        <w:right w:val="single" w:color="C3D69B" w:themeColor="accent3" w:themeTint="98" w:sz="4" w:space="0"/>
      </w:tblBorders>
      <w:tblCellMar>
        <w:top w:w="0" w:type="dxa"/>
        <w:left w:w="0" w:type="dxa"/>
        <w:bottom w:w="0" w:type="dxa"/>
        <w:right w:w="0" w:type="dxa"/>
      </w:tblCellMar>
    </w:tblPr>
  </w:style>
  <w:style w:type="table" w:customStyle="1" w:styleId="GridTable4-Accent3">
    <w:name w:val="Grid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style>
  <w:style w:type="table" w:customStyle="1" w:styleId="Lined-Accent3">
    <w:name w:val="Lined - Accent 3"/>
    <w:tblPr>
      <w:tblCellMar>
        <w:top w:w="0" w:type="dxa"/>
        <w:left w:w="0" w:type="dxa"/>
        <w:bottom w:w="0" w:type="dxa"/>
        <w:right w:w="0" w:type="dxa"/>
      </w:tblCellMar>
    </w:tblPr>
  </w:style>
  <w:style w:type="table" w:customStyle="1" w:styleId="ListTable5Dark-Accent4">
    <w:name w:val="List Table 5 Dark - Accent 4"/>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ListTable5Dark-Accent6">
    <w:name w:val="List Table 5 Dark - Accent 6"/>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style>
  <w:style w:type="table" w:customStyle="1" w:styleId="ListTable7Colorful-Accent1">
    <w:name w:val="List Table 7 Colorful - Accent 1"/>
    <w:tblPr>
      <w:tblBorders>
        <w:right w:val="single" w:color="4F81BD" w:themeColor="accent1" w:sz="4" w:space="0"/>
      </w:tblBorders>
      <w:tblCellMar>
        <w:top w:w="0" w:type="dxa"/>
        <w:left w:w="0" w:type="dxa"/>
        <w:bottom w:w="0" w:type="dxa"/>
        <w:right w:w="0" w:type="dxa"/>
      </w:tblCellMar>
    </w:tblPr>
  </w:style>
  <w:style w:type="table" w:styleId="53">
    <w:name w:val="Plain Table 5"/>
    <w:tblPr>
      <w:tblCellMar>
        <w:top w:w="0" w:type="dxa"/>
        <w:left w:w="0" w:type="dxa"/>
        <w:bottom w:w="0" w:type="dxa"/>
        <w:right w:w="0" w:type="dxa"/>
      </w:tblCellMar>
    </w:tblPr>
  </w:style>
  <w:style w:type="table" w:customStyle="1" w:styleId="GridTable6Colorful-Accent5">
    <w:name w:val="Grid Table 6 Colorful - Accent 5"/>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6Colorful-Accent4">
    <w:name w:val="Grid Table 6 Colorful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GridTable7Colorful-Accent2">
    <w:name w:val="Grid Table 7 Colorful - Accent 2"/>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1Light-Accent1">
    <w:name w:val="Grid Table 1 Light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ListTable7Colorful-Accent5">
    <w:name w:val="List Table 7 Colorful - Accent 5"/>
    <w:tblPr>
      <w:tblBorders>
        <w:right w:val="single" w:color="92CCDC" w:themeColor="accent5" w:themeTint="9a" w:sz="4" w:space="0"/>
      </w:tblBorders>
      <w:tblCellMar>
        <w:top w:w="0" w:type="dxa"/>
        <w:left w:w="0" w:type="dxa"/>
        <w:bottom w:w="0" w:type="dxa"/>
        <w:right w:w="0" w:type="dxa"/>
      </w:tblCellMar>
    </w:tblPr>
  </w:style>
  <w:style w:type="table" w:styleId="25">
    <w:name w:val="Plain Table 2"/>
    <w:tblPr>
      <w:tblBorders>
        <w:top w:val="single" w:color="000000" w:themeColor="text1" w:sz="4" w:space="0"/>
        <w:left w:val="nil"/>
        <w:bottom w:val="single" w:color="000000" w:themeColor="text1" w:sz="4" w:space="0"/>
        <w:right w:val="nil"/>
      </w:tblBorders>
      <w:tblCellMar>
        <w:top w:w="0" w:type="dxa"/>
        <w:left w:w="108" w:type="dxa"/>
        <w:bottom w:w="0" w:type="dxa"/>
        <w:right w:w="108" w:type="dxa"/>
      </w:tblCellMar>
    </w:tblPr>
  </w:style>
  <w:style w:type="table" w:customStyle="1" w:styleId="Lined-Accent4">
    <w:name w:val="Lined - Accent 4"/>
    <w:tblPr>
      <w:tblCellMar>
        <w:top w:w="0" w:type="dxa"/>
        <w:left w:w="0" w:type="dxa"/>
        <w:bottom w:w="0" w:type="dxa"/>
        <w:right w:w="0" w:type="dxa"/>
      </w:tblCellMar>
    </w:tblPr>
  </w:style>
  <w:style w:type="table" w:customStyle="1" w:styleId="Bordered-Accent6">
    <w:name w:val="Bordered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styleId="afa">
    <w:name w:val="Table Gri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BorderedLined-Accent">
    <w:name w:val="Bordered &amp; Lined - Accen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6Colorful-Accent6">
    <w:name w:val="List Table 6 Colorful - Accent 6"/>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style>
  <w:style w:type="table" w:customStyle="1" w:styleId="ListTable3-Accent1">
    <w:name w:val="List Table 3 - Accent 1"/>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style>
  <w:style w:type="table" w:customStyle="1" w:styleId="ListTable5Dark-Accent1">
    <w:name w:val="List Table 5 Dark - Accent 1"/>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style>
  <w:style w:type="table" w:customStyle="1" w:styleId="ListTable2-Accent4">
    <w:name w:val="List Table 2 - Accent 4"/>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customStyle="1" w:styleId="Lined-Accent2">
    <w:name w:val="Lined - Accent 2"/>
    <w:tblPr>
      <w:tblCellMar>
        <w:top w:w="0" w:type="dxa"/>
        <w:left w:w="0" w:type="dxa"/>
        <w:bottom w:w="0" w:type="dxa"/>
        <w:right w:w="0" w:type="dxa"/>
      </w:tblCellMar>
    </w:tblPr>
  </w:style>
  <w:style w:type="table" w:customStyle="1" w:styleId="GridTable5Dark-Accent2">
    <w:name w:val="Grid Table 5 Dark - Accent 2"/>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3-Accent4">
    <w:name w:val="List Table 3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style>
  <w:style w:type="table" w:customStyle="1" w:styleId="Lined-Accent5">
    <w:name w:val="Lined - Accent 5"/>
    <w:tblPr>
      <w:tblCellMar>
        <w:top w:w="0" w:type="dxa"/>
        <w:left w:w="0" w:type="dxa"/>
        <w:bottom w:w="0" w:type="dxa"/>
        <w:right w:w="0" w:type="dxa"/>
      </w:tblCellMar>
    </w:tblPr>
  </w:style>
  <w:style w:type="table" w:styleId="43">
    <w:name w:val="Plain Table 4"/>
    <w:tblPr>
      <w:tblCellMar>
        <w:top w:w="0" w:type="dxa"/>
        <w:left w:w="0" w:type="dxa"/>
        <w:bottom w:w="0" w:type="dxa"/>
        <w:right w:w="0" w:type="dxa"/>
      </w:tblCellMar>
    </w:tblPr>
  </w:style>
  <w:style w:type="table" w:customStyle="1" w:styleId="GridTable7Colorful-Accent3">
    <w:name w:val="Grid Table 7 Colorful - Accent 3"/>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ListTable5Dark-Accent2">
    <w:name w:val="List Table 5 Dark - Accent 2"/>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style>
  <w:style w:type="table" w:customStyle="1" w:styleId="GridTable6Colorful-Accent6">
    <w:name w:val="Grid Table 6 Colorful - Accent 6"/>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2-Accent4">
    <w:name w:val="Grid Table 2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6Colorful-Accent4">
    <w:name w:val="List Table 6 Colorful - Accent 4"/>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style>
  <w:style w:type="table" w:customStyle="1" w:styleId="ListTable4-Accent6">
    <w:name w:val="List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GridTable7Colorful-Accent4">
    <w:name w:val="Grid Table 7 Colorful - Accent 4"/>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2-Accent5">
    <w:name w:val="List Table 2 - Accent 5"/>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5Dark-Accent5">
    <w:name w:val="Grid Table 5 Dark - Accent 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BorderedLined-Accent3">
    <w:name w:val="Bordered &amp; Lined - Accent 3"/>
    <w:tblPr>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style>
  <w:style w:type="table" w:customStyle="1" w:styleId="Lined-Accent6">
    <w:name w:val="Lined - Accent 6"/>
    <w:tblPr>
      <w:tblCellMar>
        <w:top w:w="0" w:type="dxa"/>
        <w:left w:w="0" w:type="dxa"/>
        <w:bottom w:w="0" w:type="dxa"/>
        <w:right w:w="0" w:type="dxa"/>
      </w:tblCellMar>
    </w:tblPr>
  </w:style>
  <w:style w:type="table" w:styleId="18">
    <w:name w:val="Plain Table 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Bordered-Accent5">
    <w:name w:val="Bordered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customStyle="1" w:styleId="BorderedLined-Accent1">
    <w:name w:val="Bordered &amp; Lined - Accent 1"/>
    <w:tblPr>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style>
  <w:style w:type="table" w:customStyle="1" w:styleId="Lined-Accent">
    <w:name w:val="Lined - Accent"/>
    <w:tblPr>
      <w:tblCellMar>
        <w:top w:w="0" w:type="dxa"/>
        <w:left w:w="0" w:type="dxa"/>
        <w:bottom w:w="0" w:type="dxa"/>
        <w:right w:w="0" w:type="dxa"/>
      </w:tblCellMar>
    </w:tblPr>
  </w:style>
  <w:style w:type="table" w:customStyle="1" w:styleId="ListTable4-Accent5">
    <w:name w:val="List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3-Accent1">
    <w:name w:val="Grid Table 3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ListTable4-Accent1">
    <w:name w:val="List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customStyle="1" w:styleId="GridTable2-Accent1">
    <w:name w:val="Grid Table 2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GridTable7Colorful-Accent5">
    <w:name w:val="Grid Table 7 Colorful - Accent 5"/>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customStyle="1" w:styleId="GridTable1Light-Accent2">
    <w:name w:val="Grid Table 1 Light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styleId="-7">
    <w:name w:val="List Table 7 Colorful"/>
    <w:tblPr>
      <w:tblBorders>
        <w:right w:val="single" w:color="7F7F7F" w:themeColor="text1" w:themeTint="80" w:sz="4" w:space="0"/>
      </w:tblBorders>
      <w:tblCellMar>
        <w:top w:w="0" w:type="dxa"/>
        <w:left w:w="0" w:type="dxa"/>
        <w:bottom w:w="0" w:type="dxa"/>
        <w:right w:w="0" w:type="dxa"/>
      </w:tblCellMar>
    </w:tblPr>
  </w:style>
  <w:style w:type="table" w:customStyle="1" w:styleId="GridTable4-Accent2">
    <w:name w:val="Grid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style>
  <w:style w:type="table" w:customStyle="1" w:styleId="GridTable7Colorful-Accent6">
    <w:name w:val="Grid Table 7 Colorful - Accent 6"/>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4-Accent4">
    <w:name w:val="Grid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BorderedLined-Accent6">
    <w:name w:val="Bordered &amp; Lined - Accent 6"/>
    <w:tblPr>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style>
  <w:style w:type="table" w:customStyle="1" w:styleId="ListTable2-Accent1">
    <w:name w:val="List Table 2 - Accent 1"/>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styleId="-3">
    <w:name w:val="Grid Table 3"/>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customStyle="1" w:styleId="TableGridLight">
    <w:name w:val="Table Grid Ligh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2-Accent6">
    <w:name w:val="Grid Table 2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5Dark-Accent4">
    <w:name w:val="Grid Table 5 Dark- Accent 4"/>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styleId="-60">
    <w:name w:val="Grid Table 6 Colorful"/>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customStyle="1" w:styleId="GridTable4-Accent6">
    <w:name w:val="Grid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6Colorful-Accent3">
    <w:name w:val="Grid Table 6 Colorful - Accent 3"/>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2-Accent2">
    <w:name w:val="List Table 2 - Accent 2"/>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2">
    <w:name w:val="Grid Table 2"/>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styleId="-40">
    <w:name w:val="Grid Table 4"/>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style>
  <w:style w:type="table" w:customStyle="1" w:styleId="ListTable5Dark-Accent3">
    <w:name w:val="List Table 5 Dark - Accent 3"/>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style>
  <w:style w:type="table" w:customStyle="1" w:styleId="BorderedLined-Accent5">
    <w:name w:val="Bordered &amp; Lined - Accent 5"/>
    <w:tblPr>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style>
  <w:style w:type="table" w:styleId="-30">
    <w:name w:val="List Table 3"/>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style>
  <w:style w:type="table" w:customStyle="1" w:styleId="GridTable3-Accent4">
    <w:name w:val="Grid Table 3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7Colorful-Accent4">
    <w:name w:val="List Table 7 Colorful - Accent 4"/>
    <w:tblPr>
      <w:tblBorders>
        <w:right w:val="single" w:color="B2A1C6" w:themeColor="accent4" w:themeTint="9a" w:sz="4" w:space="0"/>
      </w:tblBorders>
      <w:tblCellMar>
        <w:top w:w="0" w:type="dxa"/>
        <w:left w:w="0" w:type="dxa"/>
        <w:bottom w:w="0" w:type="dxa"/>
        <w:right w:w="0" w:type="dxa"/>
      </w:tblCellMar>
    </w:tblPr>
  </w:style>
  <w:style w:type="table" w:customStyle="1" w:styleId="Bordered-Accent3">
    <w:name w:val="Bordered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4-Accent3">
    <w:name w:val="List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ListTable2-Accent3">
    <w:name w:val="List Table 2 - Accent 3"/>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Bordered">
    <w:name w:val="Bordered"/>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style>
  <w:style w:type="table" w:customStyle="1" w:styleId="BorderedLined-Accent4">
    <w:name w:val="Bordered &amp; Lined - Accent 4"/>
    <w:tblPr>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style>
  <w:style w:type="table" w:customStyle="1" w:styleId="GridTable1Light-Accent6">
    <w:name w:val="Grid Table 1 Light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customStyle="1" w:styleId="GridTable5Dark-Accent6">
    <w:name w:val="Grid Table 5 Dark - Accent 6"/>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3-Accent3">
    <w:name w:val="List Table 3 - Accent 3"/>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style>
  <w:style w:type="table" w:customStyle="1" w:styleId="ListTable4-Accent2">
    <w:name w:val="List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1">
    <w:name w:val="List Table 1 Light"/>
    <w:tblPr>
      <w:tblCellMar>
        <w:top w:w="0" w:type="dxa"/>
        <w:left w:w="0" w:type="dxa"/>
        <w:bottom w:w="0" w:type="dxa"/>
        <w:right w:w="0" w:type="dxa"/>
      </w:tblCellMar>
    </w:tblPr>
  </w:style>
  <w:style w:type="table" w:customStyle="1" w:styleId="ListTable4-Accent4">
    <w:name w:val="List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styleId="-70">
    <w:name w:val="Grid Table 7 Colorful"/>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styleId="-10">
    <w:name w:val="Grid Table 1 Ligh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style>
  <w:style w:type="table" w:customStyle="1" w:styleId="Bordered-Accent2">
    <w:name w:val="Bordered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customStyle="1" w:styleId="GridTable7Colorful-Accent1">
    <w:name w:val="Grid Table 7 Colorful - Accent 1"/>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customStyle="1" w:styleId="ListTable6Colorful-Accent1">
    <w:name w:val="List Table 6 Colorful - Accent 1"/>
    <w:tblPr>
      <w:tblBorders>
        <w:top w:val="single" w:color="4F81BD" w:themeColor="accent1" w:sz="4" w:space="0"/>
        <w:bottom w:val="single" w:color="4F81BD" w:themeColor="accent1" w:sz="4" w:space="0"/>
      </w:tblBorders>
      <w:tblCellMar>
        <w:top w:w="0" w:type="dxa"/>
        <w:left w:w="0" w:type="dxa"/>
        <w:bottom w:w="0" w:type="dxa"/>
        <w:right w:w="0" w:type="dxa"/>
      </w:tblCellMar>
    </w:tblPr>
  </w:style>
  <w:style w:type="table" w:styleId="-50">
    <w:name w:val="Grid Table 5 Dark"/>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2-Accent6">
    <w:name w:val="List Table 2 - Accent 6"/>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ListTable6Colorful-Accent5">
    <w:name w:val="List Table 6 Colorful - Accent 5"/>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style>
  <w:style w:type="table" w:customStyle="1" w:styleId="GridTable2-Accent2">
    <w:name w:val="Grid Table 2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stTable6Colorful-Accent3">
    <w:name w:val="List Table 6 Colorful - Accent 3"/>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GridTable1Light-Accent3">
    <w:name w:val="Grid Table 1 Light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7Colorful-Accent6">
    <w:name w:val="List Table 7 Colorful - Accent 6"/>
    <w:tblPr>
      <w:tblBorders>
        <w:right w:val="single" w:color="FAC090" w:themeColor="accent6" w:themeTint="98" w:sz="4" w:space="0"/>
      </w:tblBorders>
      <w:tblCellMar>
        <w:top w:w="0" w:type="dxa"/>
        <w:left w:w="0" w:type="dxa"/>
        <w:bottom w:w="0" w:type="dxa"/>
        <w:right w:w="0" w:type="dxa"/>
      </w:tblCellMar>
    </w:tblPr>
  </w:style>
  <w:style w:type="table" w:customStyle="1" w:styleId="GridTable2-Accent3">
    <w:name w:val="Grid Table 2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3-Accent6">
    <w:name w:val="List Table 3 - Accent 6"/>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style>
  <w:style w:type="table" w:customStyle="1" w:styleId="GridTable3-Accent2">
    <w:name w:val="Grid Table 3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2-Accent5">
    <w:name w:val="Grid Table 2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ListTable5Dark-Accent5">
    <w:name w:val="List Table 5 Dark - Accent 5"/>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style>
  <w:style w:type="table" w:customStyle="1" w:styleId="GridTable5Dark-Accent3">
    <w:name w:val="Grid Table 5 Dark - Accent 3"/>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GridTable3-Accent6">
    <w:name w:val="Grid Table 3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4-Accent5">
    <w:name w:val="Grid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styleId="-20">
    <w:name w:val="List Table 2"/>
    <w:tblPr>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style>
  <w:style w:type="table" w:customStyle="1" w:styleId="ListTable3-Accent5">
    <w:name w:val="List Table 3 - Accent 5"/>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style>
  <w:style w:type="table" w:customStyle="1" w:styleId="GridTable6Colorful-Accent2">
    <w:name w:val="Grid Table 6 Colorful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ned-Accent1">
    <w:name w:val="Lined - Accent 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gkr.ru/" TargetMode="External"/><Relationship Id="rId3" Type="http://schemas.openxmlformats.org/officeDocument/2006/relationships/hyperlink" Target="mailto:mail@kgk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LibreOffice/24.8.4.2$Linux_X86_64 LibreOffice_project/480$Build-2</Application>
  <AppVersion>15.0000</AppVersion>
  <Pages>11</Pages>
  <Words>3815</Words>
  <Characters>28381</Characters>
  <CharactersWithSpaces>32491</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2025-12-24T09:34:00Z</dcterms:created>
  <dc:creator>Курценбаум Екатерина Юрьевна</dc:creator>
  <dc:description/>
  <dc:language>ru-RU</dc:language>
  <cp:lastModifiedBy/>
  <dcterms:modified xsi:type="dcterms:W3CDTF">2026-05-05T14:13:35Z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